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19"/>
        <w:gridCol w:w="1555"/>
        <w:gridCol w:w="879"/>
        <w:gridCol w:w="2796"/>
        <w:gridCol w:w="1133"/>
        <w:gridCol w:w="1412"/>
        <w:gridCol w:w="1778"/>
        <w:gridCol w:w="1141"/>
        <w:gridCol w:w="1181"/>
        <w:gridCol w:w="1145"/>
        <w:gridCol w:w="991"/>
        <w:gridCol w:w="709"/>
        <w:gridCol w:w="738"/>
        <w:gridCol w:w="10"/>
        <w:gridCol w:w="15"/>
      </w:tblGrid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49269F">
        <w:trPr>
          <w:gridAfter w:val="2"/>
          <w:wAfter w:w="25" w:type="dxa"/>
          <w:trHeight w:val="300"/>
        </w:trPr>
        <w:tc>
          <w:tcPr>
            <w:tcW w:w="16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9269F" w:rsidRPr="00C82FC8" w:rsidTr="00D15866">
        <w:trPr>
          <w:gridAfter w:val="2"/>
          <w:wAfter w:w="25" w:type="dxa"/>
          <w:trHeight w:val="5175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8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21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0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3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3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6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93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4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7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3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5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9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9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4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5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95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725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95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  <w:r w:rsidR="00513905"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Przedstawiciel: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639F" w:rsidRPr="00F22946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5D639F" w:rsidRPr="00C82FC8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12.01.2021 </w:t>
            </w: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E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4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90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2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80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01.02.2018r</w:t>
            </w:r>
            <w:r w:rsidR="00855184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krzewienie</w:t>
            </w:r>
            <w:r w:rsidR="00C04F85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Pr="00F26CE3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Prezes:             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Leśniewski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Wiceprezes: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Skarbnik: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Członkowie: </w:t>
            </w:r>
          </w:p>
          <w:p w:rsidR="00F814B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Przekształce</w:t>
            </w:r>
            <w:r w:rsidR="00B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w stowarzyszenie rejestrowe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5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3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4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4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94063E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2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9406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D15866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Pr="0001648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1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„Żabianka Żabi Róg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527781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7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37" w:rsidRPr="008B4237" w:rsidRDefault="008B4237" w:rsidP="008B4237">
            <w:r w:rsidRPr="008B4237">
              <w:rPr>
                <w:b/>
                <w:bCs/>
              </w:rPr>
              <w:t xml:space="preserve">1. Cele:                                          </w:t>
            </w:r>
            <w:r w:rsidRPr="008B4237">
              <w:t xml:space="preserve"> </w:t>
            </w:r>
          </w:p>
          <w:p w:rsidR="008B4237" w:rsidRPr="008B4237" w:rsidRDefault="008B4237" w:rsidP="008B4237">
            <w:r w:rsidRPr="008B4237">
              <w:t xml:space="preserve">a) Organizacja, rozwój i popularyzacja sportu piłki nożnej, </w:t>
            </w:r>
          </w:p>
          <w:p w:rsidR="008B4237" w:rsidRPr="008B4237" w:rsidRDefault="008B4237" w:rsidP="008B4237">
            <w:r w:rsidRPr="008B4237">
              <w:t>b) wychowywanie dzieci i młodzieży oraz osób dorosłych przez sport piłki nożnej przeciwdziałając negatywnym zjawiskom społecznym,</w:t>
            </w:r>
          </w:p>
          <w:p w:rsidR="008B4237" w:rsidRPr="008B4237" w:rsidRDefault="008B4237" w:rsidP="008B4237">
            <w:r w:rsidRPr="008B4237">
              <w:t xml:space="preserve">c) upowszechnianie i tworzenie warunków dla uprawiania piłki nożnej, przez dzieci, młodzież oraz osoby dorosłe, </w:t>
            </w:r>
          </w:p>
          <w:p w:rsidR="008B4237" w:rsidRPr="008B4237" w:rsidRDefault="008B4237" w:rsidP="008B4237">
            <w:r w:rsidRPr="008B4237">
              <w:lastRenderedPageBreak/>
              <w:t xml:space="preserve">d) krzewienie kultury fizycznej wśród dzieci, młodzieży i dorosłych na terenie działania Stowarzyszenia oraz wychowywanie przez kulturę fizyczną, </w:t>
            </w:r>
          </w:p>
          <w:p w:rsidR="008B4237" w:rsidRPr="008B4237" w:rsidRDefault="008B4237" w:rsidP="008B4237">
            <w:r w:rsidRPr="008B4237">
              <w:t xml:space="preserve">e) propagowanie i działanie na rzecz tworzenia warunków zdrowego i aktywnego trybu życia poprzez wychowanie fizyczne, sport i rekreację ruchową, </w:t>
            </w:r>
          </w:p>
          <w:p w:rsidR="008B4237" w:rsidRPr="008B4237" w:rsidRDefault="008B4237" w:rsidP="008B4237">
            <w:r w:rsidRPr="008B4237">
              <w:t xml:space="preserve">f) propagowanie i tworzenie warunków rozwoju idei aktywnego wypoczynku dzieci, młodzieży oraz osób dorosłych, jako istotnego elementu rozwoju i wychowania. </w:t>
            </w:r>
          </w:p>
          <w:p w:rsidR="008B4237" w:rsidRPr="008B4237" w:rsidRDefault="008B4237" w:rsidP="008B4237">
            <w:r w:rsidRPr="008B4237">
              <w:rPr>
                <w:b/>
                <w:bCs/>
              </w:rPr>
              <w:t>2. Teren działania:</w:t>
            </w:r>
            <w:r w:rsidRPr="008B4237">
              <w:t xml:space="preserve"> Gmina Morąg, Żabi Róg       </w:t>
            </w:r>
          </w:p>
          <w:p w:rsidR="008B4237" w:rsidRPr="008B4237" w:rsidRDefault="008B4237" w:rsidP="008B4237"/>
          <w:p w:rsidR="008B4237" w:rsidRPr="008B4237" w:rsidRDefault="008B4237" w:rsidP="008B4237">
            <w:pPr>
              <w:rPr>
                <w:b/>
                <w:bCs/>
              </w:rPr>
            </w:pPr>
            <w:r w:rsidRPr="008B4237">
              <w:rPr>
                <w:b/>
                <w:bCs/>
              </w:rPr>
              <w:t xml:space="preserve">3. Środki działania:    </w:t>
            </w:r>
          </w:p>
          <w:p w:rsidR="008B4237" w:rsidRPr="008B4237" w:rsidRDefault="008B4237" w:rsidP="008B4237">
            <w:pPr>
              <w:rPr>
                <w:bCs/>
              </w:rPr>
            </w:pPr>
            <w:r w:rsidRPr="008B4237">
              <w:rPr>
                <w:bCs/>
              </w:rPr>
              <w:t xml:space="preserve">a) uczestniczenie w rozgrywkach i zawodach sportowych rangi lokalnej i krajowej, </w:t>
            </w:r>
          </w:p>
          <w:p w:rsidR="008B4237" w:rsidRPr="008B4237" w:rsidRDefault="008B4237" w:rsidP="008B4237">
            <w:pPr>
              <w:rPr>
                <w:bCs/>
              </w:rPr>
            </w:pPr>
            <w:r w:rsidRPr="008B4237">
              <w:rPr>
                <w:bCs/>
              </w:rPr>
              <w:t xml:space="preserve">b) organizowanie zawodów, imprez sportowych i rekreacyjnych, </w:t>
            </w:r>
          </w:p>
          <w:p w:rsidR="008B4237" w:rsidRPr="008B4237" w:rsidRDefault="008B4237" w:rsidP="008B4237">
            <w:pPr>
              <w:rPr>
                <w:bCs/>
              </w:rPr>
            </w:pPr>
            <w:r w:rsidRPr="008B4237">
              <w:rPr>
                <w:bCs/>
              </w:rPr>
              <w:t xml:space="preserve">c) prowadzenie działalności szkoleniowej w zakresie </w:t>
            </w:r>
            <w:r w:rsidRPr="008B4237">
              <w:rPr>
                <w:bCs/>
              </w:rPr>
              <w:lastRenderedPageBreak/>
              <w:t xml:space="preserve">uprawianej w stowarzyszeniu dyscypliny sportowej, </w:t>
            </w:r>
          </w:p>
          <w:p w:rsidR="008B4237" w:rsidRPr="008B4237" w:rsidRDefault="008B4237" w:rsidP="008B4237">
            <w:pPr>
              <w:rPr>
                <w:bCs/>
              </w:rPr>
            </w:pPr>
            <w:r w:rsidRPr="008B4237">
              <w:rPr>
                <w:bCs/>
              </w:rPr>
              <w:t xml:space="preserve">d) organizowanie różnorodnych form współzawodnictwa sportowego, </w:t>
            </w:r>
          </w:p>
          <w:p w:rsidR="00D15866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B4237">
              <w:rPr>
                <w:bCs/>
              </w:rPr>
              <w:t>e) sprawowanie opieki wychowawczej i szkoleniowej nad członkami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0B4392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B4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Przedstawiciel: Jarosław Małyj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233E9" w:rsidRPr="007233E9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D15866" w:rsidRPr="00F1058E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27.03.2021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E050EC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6D61" w:rsidRDefault="00D46D61" w:rsidP="00C82165">
      <w:pPr>
        <w:ind w:left="142"/>
      </w:pPr>
    </w:p>
    <w:sectPr w:rsidR="00D46D61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96" w:rsidRDefault="00F57696" w:rsidP="00496B06">
      <w:pPr>
        <w:spacing w:after="0" w:line="240" w:lineRule="auto"/>
      </w:pPr>
      <w:r>
        <w:separator/>
      </w:r>
    </w:p>
  </w:endnote>
  <w:endnote w:type="continuationSeparator" w:id="0">
    <w:p w:rsidR="00F57696" w:rsidRDefault="00F57696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96" w:rsidRDefault="00F57696" w:rsidP="00496B06">
      <w:pPr>
        <w:spacing w:after="0" w:line="240" w:lineRule="auto"/>
      </w:pPr>
      <w:r>
        <w:separator/>
      </w:r>
    </w:p>
  </w:footnote>
  <w:footnote w:type="continuationSeparator" w:id="0">
    <w:p w:rsidR="00F57696" w:rsidRDefault="00F57696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392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505B5"/>
    <w:rsid w:val="002512B1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22C1"/>
    <w:rsid w:val="003C26CB"/>
    <w:rsid w:val="003C3BC2"/>
    <w:rsid w:val="003C62A3"/>
    <w:rsid w:val="003D4150"/>
    <w:rsid w:val="003E3F87"/>
    <w:rsid w:val="003E4E98"/>
    <w:rsid w:val="003F79A5"/>
    <w:rsid w:val="003F7C82"/>
    <w:rsid w:val="00401390"/>
    <w:rsid w:val="004074D3"/>
    <w:rsid w:val="0041248B"/>
    <w:rsid w:val="004175AF"/>
    <w:rsid w:val="004348DE"/>
    <w:rsid w:val="00442B3C"/>
    <w:rsid w:val="0045449E"/>
    <w:rsid w:val="00471410"/>
    <w:rsid w:val="00471EA4"/>
    <w:rsid w:val="00475927"/>
    <w:rsid w:val="004821F1"/>
    <w:rsid w:val="0049269F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27781"/>
    <w:rsid w:val="0055610F"/>
    <w:rsid w:val="00562D91"/>
    <w:rsid w:val="00566DD4"/>
    <w:rsid w:val="00567595"/>
    <w:rsid w:val="00572619"/>
    <w:rsid w:val="0058049F"/>
    <w:rsid w:val="005813BD"/>
    <w:rsid w:val="005B17AF"/>
    <w:rsid w:val="005B4E4B"/>
    <w:rsid w:val="005C2919"/>
    <w:rsid w:val="005D639F"/>
    <w:rsid w:val="005E253C"/>
    <w:rsid w:val="005E6275"/>
    <w:rsid w:val="005E6C5E"/>
    <w:rsid w:val="005F72B4"/>
    <w:rsid w:val="006147BF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233E9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C1590"/>
    <w:rsid w:val="007C5223"/>
    <w:rsid w:val="007F1972"/>
    <w:rsid w:val="007F3AFC"/>
    <w:rsid w:val="007F3C8F"/>
    <w:rsid w:val="008065C0"/>
    <w:rsid w:val="0081425A"/>
    <w:rsid w:val="00815174"/>
    <w:rsid w:val="00827C78"/>
    <w:rsid w:val="0084017C"/>
    <w:rsid w:val="00855184"/>
    <w:rsid w:val="00860045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4063E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452DD"/>
    <w:rsid w:val="00B50D96"/>
    <w:rsid w:val="00B52935"/>
    <w:rsid w:val="00B61417"/>
    <w:rsid w:val="00B62C18"/>
    <w:rsid w:val="00B65CB6"/>
    <w:rsid w:val="00B72728"/>
    <w:rsid w:val="00B83C82"/>
    <w:rsid w:val="00B90162"/>
    <w:rsid w:val="00B96ED4"/>
    <w:rsid w:val="00BA1087"/>
    <w:rsid w:val="00BA3F14"/>
    <w:rsid w:val="00BB200E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15866"/>
    <w:rsid w:val="00D20C4A"/>
    <w:rsid w:val="00D40DA2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1689-ABA4-4145-BBA8-F35EC61F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9184</Words>
  <Characters>55109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132</cp:revision>
  <dcterms:created xsi:type="dcterms:W3CDTF">2017-08-31T08:16:00Z</dcterms:created>
  <dcterms:modified xsi:type="dcterms:W3CDTF">2021-04-09T12:22:00Z</dcterms:modified>
</cp:coreProperties>
</file>