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2FA" w:rsidRDefault="007052FA" w:rsidP="007052FA">
      <w:pPr>
        <w:spacing w:after="0"/>
        <w:jc w:val="both"/>
        <w:rPr>
          <w:rFonts w:ascii="Arial" w:hAnsi="Arial"/>
          <w:color w:val="002060"/>
          <w:sz w:val="20"/>
          <w:szCs w:val="20"/>
        </w:rPr>
      </w:pPr>
    </w:p>
    <w:p w:rsidR="00C54EFD" w:rsidRPr="00C54EFD" w:rsidRDefault="00F12FEC" w:rsidP="00C54EFD">
      <w:pPr>
        <w:spacing w:after="160" w:line="259" w:lineRule="auto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Ostróda, 31</w:t>
      </w:r>
      <w:r w:rsidR="00C54EFD" w:rsidRPr="00C54EFD">
        <w:rPr>
          <w:rFonts w:ascii="Times New Roman" w:eastAsiaTheme="minorHAnsi" w:hAnsi="Times New Roman" w:cs="Times New Roman"/>
          <w:sz w:val="24"/>
          <w:szCs w:val="24"/>
        </w:rPr>
        <w:t>.10.2019 r.</w:t>
      </w:r>
    </w:p>
    <w:p w:rsidR="00C54EFD" w:rsidRPr="00C54EFD" w:rsidRDefault="00C54EFD" w:rsidP="00C54EFD">
      <w:pPr>
        <w:spacing w:after="160" w:line="259" w:lineRule="auto"/>
        <w:jc w:val="right"/>
        <w:rPr>
          <w:rFonts w:ascii="Times New Roman" w:eastAsiaTheme="minorHAnsi" w:hAnsi="Times New Roman" w:cs="Times New Roman"/>
          <w:sz w:val="24"/>
          <w:szCs w:val="24"/>
        </w:rPr>
      </w:pPr>
    </w:p>
    <w:p w:rsidR="00C54EFD" w:rsidRPr="00C54EFD" w:rsidRDefault="00C54EFD" w:rsidP="00C54EFD">
      <w:pPr>
        <w:spacing w:after="160" w:line="259" w:lineRule="auto"/>
        <w:jc w:val="right"/>
        <w:rPr>
          <w:rFonts w:ascii="Times New Roman" w:eastAsiaTheme="minorHAnsi" w:hAnsi="Times New Roman" w:cs="Times New Roman"/>
          <w:sz w:val="24"/>
          <w:szCs w:val="24"/>
        </w:rPr>
      </w:pPr>
    </w:p>
    <w:p w:rsidR="00C54EFD" w:rsidRPr="00C54EFD" w:rsidRDefault="00C54EFD" w:rsidP="00C54EFD">
      <w:pPr>
        <w:spacing w:after="160" w:line="259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54EFD">
        <w:rPr>
          <w:rFonts w:ascii="Times New Roman" w:eastAsiaTheme="minorHAnsi" w:hAnsi="Times New Roman" w:cs="Times New Roman"/>
          <w:sz w:val="24"/>
          <w:szCs w:val="24"/>
        </w:rPr>
        <w:t>RL.523.19.2019</w:t>
      </w:r>
    </w:p>
    <w:p w:rsidR="00C54EFD" w:rsidRPr="00C54EFD" w:rsidRDefault="00C54EFD" w:rsidP="00C54EFD">
      <w:pPr>
        <w:spacing w:after="160" w:line="259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C54EFD" w:rsidRPr="00C54EFD" w:rsidRDefault="00C54EFD" w:rsidP="00C54EFD">
      <w:pPr>
        <w:spacing w:after="160" w:line="259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C54EFD" w:rsidRPr="00C54EFD" w:rsidRDefault="00C54EFD" w:rsidP="00C54EFD">
      <w:pPr>
        <w:spacing w:after="160" w:line="259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C54EFD">
        <w:rPr>
          <w:rFonts w:ascii="Times New Roman" w:eastAsiaTheme="minorHAnsi" w:hAnsi="Times New Roman" w:cs="Times New Roman"/>
          <w:b/>
          <w:sz w:val="24"/>
          <w:szCs w:val="24"/>
        </w:rPr>
        <w:t>Protokół z przeprowadzonych konsultacji społecznych Rocznego Programu Współpracy Powiatu Ostródzkiego z Organizacji Pozarządowymi oraz Innymi Podmiotami Prowadzącymi Działalność Pożytku Publicznego na rok 2020.”</w:t>
      </w:r>
    </w:p>
    <w:p w:rsidR="00C54EFD" w:rsidRPr="00C54EFD" w:rsidRDefault="00C54EFD" w:rsidP="00C54EFD">
      <w:pPr>
        <w:spacing w:after="160" w:line="259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C54EFD" w:rsidRPr="00C54EFD" w:rsidRDefault="00C54EFD" w:rsidP="00C54EFD">
      <w:pPr>
        <w:spacing w:after="160" w:line="259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54EFD">
        <w:rPr>
          <w:rFonts w:ascii="Times New Roman" w:eastAsiaTheme="minorHAnsi" w:hAnsi="Times New Roman" w:cs="Times New Roman"/>
          <w:sz w:val="24"/>
          <w:szCs w:val="24"/>
        </w:rPr>
        <w:tab/>
        <w:t xml:space="preserve">Konsultacje społeczne zostały przeprowadzone w dniach od 20.09.2019 r. do 11.10.2019 r. w celu poznania opinii i uwag organizacji pozarządowych i podmiotów wymienionych w art. 3 ust. 3 ustawy z dnia 24 kwietnia 2003 roku o działalności pożytku publicznego i o wolontariacie na temat projektu Rocznego Programu Współpracy Powiatu Ostródzkiego z Organizacjami Pozarządowymi oraz Innymi Podmiotami Prowadzącymi Działalność Pożytku Publicznego na rok 2020.” Ogłoszenie o konsultacjach wraz z projektem Rocznego Programu Współpracy zostało umieszczone na stronnie internetowej Biuletynu Informacji Publicznej Powiatu Ostródzkiego Powiatu Ostródzkiego: </w:t>
      </w:r>
      <w:hyperlink r:id="rId7" w:history="1">
        <w:r w:rsidRPr="00C54EFD">
          <w:rPr>
            <w:rFonts w:ascii="Times New Roman" w:eastAsiaTheme="minorHAnsi" w:hAnsi="Times New Roman" w:cs="Times New Roman"/>
            <w:color w:val="0563C1" w:themeColor="hyperlink"/>
            <w:sz w:val="24"/>
            <w:szCs w:val="24"/>
            <w:u w:val="single"/>
          </w:rPr>
          <w:t>www.bip.powiat.ostroda.pl</w:t>
        </w:r>
      </w:hyperlink>
      <w:r w:rsidRPr="00C54EFD">
        <w:rPr>
          <w:rFonts w:ascii="Times New Roman" w:eastAsiaTheme="minorHAnsi" w:hAnsi="Times New Roman" w:cs="Times New Roman"/>
          <w:sz w:val="24"/>
          <w:szCs w:val="24"/>
        </w:rPr>
        <w:t xml:space="preserve">, na stronie internetowej Starostwa Powiatowego: </w:t>
      </w:r>
      <w:hyperlink r:id="rId8" w:history="1">
        <w:r w:rsidRPr="00C54EFD">
          <w:rPr>
            <w:rFonts w:ascii="Times New Roman" w:eastAsiaTheme="minorHAnsi" w:hAnsi="Times New Roman" w:cs="Times New Roman"/>
            <w:color w:val="0563C1" w:themeColor="hyperlink"/>
            <w:sz w:val="24"/>
            <w:szCs w:val="24"/>
            <w:u w:val="single"/>
          </w:rPr>
          <w:t>www.powiat.ostroda.pl</w:t>
        </w:r>
      </w:hyperlink>
      <w:r w:rsidRPr="00C54EFD">
        <w:rPr>
          <w:rFonts w:ascii="Times New Roman" w:eastAsiaTheme="minorHAnsi" w:hAnsi="Times New Roman" w:cs="Times New Roman"/>
          <w:sz w:val="24"/>
          <w:szCs w:val="24"/>
        </w:rPr>
        <w:t xml:space="preserve"> oraz na tablicy informacyjnej Starostwa Powiatowego w Ostródzie. Zainteresowane podmioty otrzymały możliwość  przekazania swoich opinii i uwag pocztą elektroniczną oraz tradycyjną. W wyznaczonym terminie przeprowadzenia konsultacji </w:t>
      </w:r>
      <w:r w:rsidR="00067B6D">
        <w:rPr>
          <w:rFonts w:ascii="Times New Roman" w:eastAsiaTheme="minorHAnsi" w:hAnsi="Times New Roman" w:cs="Times New Roman"/>
          <w:sz w:val="24"/>
          <w:szCs w:val="24"/>
        </w:rPr>
        <w:t>wpłynęła 1 opinia.</w:t>
      </w:r>
    </w:p>
    <w:p w:rsidR="00C54EFD" w:rsidRPr="00C54EFD" w:rsidRDefault="00C54EFD" w:rsidP="00C54EFD">
      <w:pPr>
        <w:spacing w:after="160" w:line="259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54EFD">
        <w:rPr>
          <w:rFonts w:ascii="Times New Roman" w:eastAsiaTheme="minorHAnsi" w:hAnsi="Times New Roman" w:cs="Times New Roman"/>
          <w:sz w:val="24"/>
          <w:szCs w:val="24"/>
        </w:rPr>
        <w:t>W załączeniu:</w:t>
      </w:r>
    </w:p>
    <w:p w:rsidR="00C54EFD" w:rsidRPr="00C54EFD" w:rsidRDefault="00C54EFD" w:rsidP="00C54EFD">
      <w:pPr>
        <w:spacing w:after="160" w:line="259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54EFD">
        <w:rPr>
          <w:rFonts w:ascii="Times New Roman" w:eastAsiaTheme="minorHAnsi" w:hAnsi="Times New Roman" w:cs="Times New Roman"/>
          <w:sz w:val="24"/>
          <w:szCs w:val="24"/>
        </w:rPr>
        <w:t>Tabela opinii i uwag zgłoszonych w ramach konsultacji</w:t>
      </w:r>
      <w:r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C54EFD" w:rsidRPr="00C54EFD" w:rsidRDefault="00C54EFD" w:rsidP="00C54EFD">
      <w:pPr>
        <w:spacing w:after="160" w:line="259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C54EFD" w:rsidRDefault="00C54EFD" w:rsidP="00C54EFD">
      <w:pPr>
        <w:spacing w:after="160" w:line="259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C54EFD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                                       </w:t>
      </w:r>
      <w:r w:rsidR="00F12FEC">
        <w:rPr>
          <w:rFonts w:ascii="Times New Roman" w:eastAsiaTheme="minorHAnsi" w:hAnsi="Times New Roman" w:cs="Times New Roman"/>
          <w:sz w:val="24"/>
          <w:szCs w:val="24"/>
        </w:rPr>
        <w:t xml:space="preserve">                               </w:t>
      </w:r>
    </w:p>
    <w:p w:rsidR="00C54EFD" w:rsidRDefault="00C54EFD" w:rsidP="00C54EFD">
      <w:pPr>
        <w:spacing w:after="160" w:line="259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</w:p>
    <w:p w:rsidR="00C54EFD" w:rsidRDefault="00C54EFD" w:rsidP="00C54EFD">
      <w:pPr>
        <w:spacing w:after="160" w:line="259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</w:p>
    <w:p w:rsidR="00C54EFD" w:rsidRDefault="00C54EFD" w:rsidP="00C54EFD">
      <w:pPr>
        <w:spacing w:after="160" w:line="259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</w:p>
    <w:p w:rsidR="00067B6D" w:rsidRDefault="00C94550" w:rsidP="00C54EFD">
      <w:pPr>
        <w:spacing w:after="160" w:line="259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  Starosta Ostródzki </w:t>
      </w:r>
    </w:p>
    <w:p w:rsidR="00C94550" w:rsidRDefault="00C94550" w:rsidP="00C54EFD">
      <w:pPr>
        <w:spacing w:after="160" w:line="259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Andrzej Wiczkowski </w:t>
      </w:r>
    </w:p>
    <w:p w:rsidR="00067B6D" w:rsidRDefault="00067B6D" w:rsidP="00C54EFD">
      <w:pPr>
        <w:spacing w:after="160" w:line="259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</w:p>
    <w:p w:rsidR="00067B6D" w:rsidRPr="00C54EFD" w:rsidRDefault="00067B6D" w:rsidP="00C54EFD">
      <w:pPr>
        <w:spacing w:after="160" w:line="259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</w:p>
    <w:p w:rsidR="00C54EFD" w:rsidRDefault="00C54EFD" w:rsidP="007052FA">
      <w:pPr>
        <w:spacing w:after="0"/>
        <w:jc w:val="both"/>
        <w:rPr>
          <w:rFonts w:ascii="Arial" w:hAnsi="Arial"/>
          <w:color w:val="002060"/>
          <w:sz w:val="20"/>
          <w:szCs w:val="20"/>
        </w:rPr>
      </w:pPr>
      <w:bookmarkStart w:id="0" w:name="_GoBack"/>
      <w:bookmarkEnd w:id="0"/>
    </w:p>
    <w:p w:rsidR="00C54EFD" w:rsidRDefault="00C54EFD" w:rsidP="007052FA">
      <w:pPr>
        <w:spacing w:after="0"/>
        <w:jc w:val="both"/>
        <w:rPr>
          <w:rFonts w:ascii="Arial" w:hAnsi="Arial"/>
          <w:color w:val="002060"/>
          <w:sz w:val="20"/>
          <w:szCs w:val="20"/>
        </w:rPr>
      </w:pPr>
    </w:p>
    <w:p w:rsidR="007052FA" w:rsidRDefault="007052FA" w:rsidP="007052FA">
      <w:pPr>
        <w:spacing w:after="0" w:line="240" w:lineRule="auto"/>
        <w:rPr>
          <w:b/>
          <w:bCs/>
          <w:color w:val="002060"/>
        </w:rPr>
      </w:pPr>
    </w:p>
    <w:p w:rsidR="007052FA" w:rsidRDefault="007052FA" w:rsidP="007052FA">
      <w:pPr>
        <w:pStyle w:val="Akapitzlist1"/>
        <w:numPr>
          <w:ilvl w:val="0"/>
          <w:numId w:val="1"/>
        </w:numPr>
        <w:rPr>
          <w:b/>
          <w:bCs/>
          <w:color w:val="002060"/>
        </w:rPr>
      </w:pPr>
      <w:r>
        <w:rPr>
          <w:b/>
          <w:bCs/>
          <w:color w:val="002060"/>
        </w:rPr>
        <w:t>Zgłoszone uwagi / sugestie do dokumentu</w:t>
      </w:r>
    </w:p>
    <w:p w:rsidR="003C520B" w:rsidRDefault="003C520B" w:rsidP="003C520B">
      <w:pPr>
        <w:pStyle w:val="Akapitzlist1"/>
        <w:ind w:left="360"/>
        <w:rPr>
          <w:b/>
          <w:bCs/>
          <w:color w:val="002060"/>
        </w:rPr>
      </w:pPr>
    </w:p>
    <w:tbl>
      <w:tblPr>
        <w:tblW w:w="899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2"/>
        <w:gridCol w:w="2126"/>
        <w:gridCol w:w="2410"/>
        <w:gridCol w:w="2410"/>
      </w:tblGrid>
      <w:tr w:rsidR="003C520B" w:rsidTr="003C520B">
        <w:trPr>
          <w:trHeight w:val="765"/>
        </w:trPr>
        <w:tc>
          <w:tcPr>
            <w:tcW w:w="2052" w:type="dxa"/>
            <w:tcBorders>
              <w:top w:val="single" w:sz="4" w:space="0" w:color="002776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shd w:val="clear" w:color="auto" w:fill="002776"/>
            <w:vAlign w:val="center"/>
            <w:hideMark/>
          </w:tcPr>
          <w:p w:rsidR="003C520B" w:rsidRDefault="003C520B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color w:val="FFFFFF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/>
                <w:color w:val="FFFFFF"/>
                <w:sz w:val="20"/>
                <w:szCs w:val="20"/>
                <w:lang w:eastAsia="pl-PL"/>
              </w:rPr>
              <w:t>Część dokumentu, do którego zgłoszona jest uwaga (fragment oraz strona dokumentu)</w:t>
            </w:r>
          </w:p>
        </w:tc>
        <w:tc>
          <w:tcPr>
            <w:tcW w:w="2126" w:type="dxa"/>
            <w:tcBorders>
              <w:top w:val="single" w:sz="4" w:space="0" w:color="002776"/>
              <w:left w:val="nil"/>
              <w:bottom w:val="single" w:sz="4" w:space="0" w:color="002776"/>
              <w:right w:val="single" w:sz="4" w:space="0" w:color="002776"/>
            </w:tcBorders>
            <w:shd w:val="clear" w:color="auto" w:fill="002776"/>
            <w:noWrap/>
            <w:vAlign w:val="center"/>
            <w:hideMark/>
          </w:tcPr>
          <w:p w:rsidR="003C520B" w:rsidRDefault="003C520B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color w:val="FFFFFF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/>
                <w:color w:val="FFFFFF"/>
                <w:sz w:val="20"/>
                <w:szCs w:val="20"/>
                <w:lang w:eastAsia="pl-PL"/>
              </w:rPr>
              <w:t>Treść uwagi / sugestii</w:t>
            </w:r>
          </w:p>
        </w:tc>
        <w:tc>
          <w:tcPr>
            <w:tcW w:w="2410" w:type="dxa"/>
            <w:tcBorders>
              <w:top w:val="single" w:sz="4" w:space="0" w:color="002776"/>
              <w:left w:val="nil"/>
              <w:bottom w:val="single" w:sz="4" w:space="0" w:color="002776"/>
              <w:right w:val="single" w:sz="4" w:space="0" w:color="002776"/>
            </w:tcBorders>
            <w:shd w:val="clear" w:color="auto" w:fill="002776"/>
            <w:noWrap/>
            <w:vAlign w:val="center"/>
            <w:hideMark/>
          </w:tcPr>
          <w:p w:rsidR="003C520B" w:rsidRDefault="003C520B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color w:val="FFFFFF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/>
                <w:color w:val="FFFFFF"/>
                <w:sz w:val="20"/>
                <w:szCs w:val="20"/>
                <w:lang w:eastAsia="pl-PL"/>
              </w:rPr>
              <w:t>Uzasadnienie uwagi / sugestii</w:t>
            </w:r>
          </w:p>
        </w:tc>
        <w:tc>
          <w:tcPr>
            <w:tcW w:w="2410" w:type="dxa"/>
            <w:tcBorders>
              <w:top w:val="single" w:sz="4" w:space="0" w:color="002776"/>
              <w:left w:val="nil"/>
              <w:bottom w:val="single" w:sz="4" w:space="0" w:color="002776"/>
              <w:right w:val="single" w:sz="4" w:space="0" w:color="002776"/>
            </w:tcBorders>
            <w:shd w:val="clear" w:color="auto" w:fill="002776"/>
          </w:tcPr>
          <w:p w:rsidR="003C520B" w:rsidRDefault="003C520B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color w:val="FFFFFF"/>
                <w:sz w:val="20"/>
                <w:szCs w:val="20"/>
                <w:lang w:eastAsia="pl-PL"/>
              </w:rPr>
            </w:pPr>
          </w:p>
          <w:p w:rsidR="003C520B" w:rsidRDefault="003C520B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color w:val="FFFFFF"/>
                <w:sz w:val="20"/>
                <w:szCs w:val="20"/>
                <w:lang w:eastAsia="pl-PL"/>
              </w:rPr>
            </w:pPr>
          </w:p>
          <w:p w:rsidR="003C520B" w:rsidRDefault="003C520B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color w:val="FFFFFF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/>
                <w:color w:val="FFFFFF"/>
                <w:sz w:val="20"/>
                <w:szCs w:val="20"/>
                <w:lang w:eastAsia="pl-PL"/>
              </w:rPr>
              <w:t xml:space="preserve">Stanowisko </w:t>
            </w:r>
          </w:p>
        </w:tc>
      </w:tr>
      <w:tr w:rsidR="003C520B" w:rsidTr="003C520B">
        <w:trPr>
          <w:trHeight w:val="624"/>
        </w:trPr>
        <w:tc>
          <w:tcPr>
            <w:tcW w:w="2052" w:type="dxa"/>
            <w:tcBorders>
              <w:top w:val="nil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vAlign w:val="center"/>
          </w:tcPr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Rozdział I, ust. 2 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br/>
              <w:t>„</w:t>
            </w:r>
            <w:r w:rsidRPr="00E36B0C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2)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E36B0C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podmiotach programu – rozumie się przez to organizacje pozarządowe i podmioty, o których mowa w art. 3 ust. 3 ustawy wymienione w pkt 1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”</w:t>
            </w:r>
          </w:p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center"/>
          </w:tcPr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Ograniczenie kategorii podmiotów programu do organizacji pozarządowych oraz tzw. Organizacji kościelnych, a pominięcie spółdzielni socjalnych oraz spółek non-profit w zakresie prowadzonej przez nie działalności pożytku publicznego – </w:t>
            </w:r>
            <w:r w:rsidRPr="00E36B0C">
              <w:rPr>
                <w:rFonts w:ascii="Arial" w:eastAsia="Times New Roman" w:hAnsi="Arial"/>
                <w:b/>
                <w:color w:val="000000"/>
                <w:sz w:val="20"/>
                <w:szCs w:val="20"/>
                <w:lang w:eastAsia="pl-PL"/>
              </w:rPr>
              <w:t>proponuję usunąć sformułowanie</w:t>
            </w:r>
            <w:r>
              <w:rPr>
                <w:rFonts w:ascii="Arial" w:eastAsia="Times New Roman" w:hAnsi="Arial"/>
                <w:b/>
                <w:color w:val="000000"/>
                <w:sz w:val="20"/>
                <w:szCs w:val="20"/>
                <w:lang w:eastAsia="pl-PL"/>
              </w:rPr>
              <w:t>:</w:t>
            </w:r>
            <w:r w:rsidRPr="00E36B0C">
              <w:rPr>
                <w:rFonts w:ascii="Arial" w:eastAsia="Times New Roman" w:hAnsi="Arial"/>
                <w:b/>
                <w:color w:val="000000"/>
                <w:sz w:val="20"/>
                <w:szCs w:val="20"/>
                <w:lang w:eastAsia="pl-PL"/>
              </w:rPr>
              <w:t xml:space="preserve"> „wymienione w pkt 1”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center"/>
          </w:tcPr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Działalność pożytku publicznego może być prowadzona nie tylko przez organizacje pozarządowe oraz podmioty wymienione w art. 3 ust. 3 pkt 1 ustawy o działalności pożytku publicznego; podmioty wymienione w art. 3 ust. 3 pkt 2-4 mogą na równych prawach uczestniczyć we współpracy z jednostkami samorządu terytorialnego oraz realizować zadania publiczne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</w:tcPr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95522D" w:rsidRDefault="0095522D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95522D" w:rsidRDefault="0095522D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95522D" w:rsidRDefault="0095522D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Uwzględniono </w:t>
            </w:r>
          </w:p>
        </w:tc>
      </w:tr>
      <w:tr w:rsidR="003C520B" w:rsidTr="003C520B">
        <w:trPr>
          <w:trHeight w:val="624"/>
        </w:trPr>
        <w:tc>
          <w:tcPr>
            <w:tcW w:w="2052" w:type="dxa"/>
            <w:tcBorders>
              <w:top w:val="nil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vAlign w:val="center"/>
          </w:tcPr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Rozdział I</w:t>
            </w:r>
          </w:p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Aktualnie brak zapisu</w:t>
            </w:r>
          </w:p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center"/>
          </w:tcPr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Proponuję dopisać informację o spójności Rocznego programu współpracy z organizacjami pozarządowymi na 2020 rok z kluczowymi dokumentami programowymi Powiatu, takimi jak np. </w:t>
            </w:r>
            <w:r w:rsidRPr="00E36B0C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Strategia Zrównoważonego Rozwoju Powiatu Ostródzkiego na lata 2008 – 2020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275CA7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Strategia Rozwiązywania Problemów Społecznych w Powiecie Ostródzkim na lata 2014 – 2020. 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center"/>
          </w:tcPr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 w:rsidRPr="00275CA7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Program współpracy Powiatu 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Ostródzkiego </w:t>
            </w:r>
            <w:r w:rsidRPr="00275CA7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z organizacjami pozarządowymi i innymi podmiotami prowadzącymi działalność pożytku publicznego jest istotnym dokumentem, określającym zasady i zakres współpracy samorządu z organizacjami obywatelskimi. Ze względu na podstawę prawną, program jest ukierunkowany przede wszystkim na wspieranie działalności pożytku publicznego realizowanej w formach przewidzianych w ustawie. Warto jednak 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pokazać</w:t>
            </w:r>
            <w:r w:rsidRPr="00275CA7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 kompatybilność tego dokumentu z celami i zadaniami określonymi w dokumentach strategicznych powiatu, w szczególności Strategii 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rozwoju oraz</w:t>
            </w:r>
            <w:r w:rsidRPr="00275CA7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strategii 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lastRenderedPageBreak/>
              <w:t>rozwiązywania problemów społecznych, ponieważ konsultowany program stanowi jedno z narzędzi służących realizacji tych strategii</w:t>
            </w:r>
            <w:r w:rsidRPr="00275CA7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. Warto odnieść się do tych dokumentów, np. w postanowieniach ogólnych (rozdział I) programu współpracy.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</w:tcPr>
          <w:p w:rsidR="005C4F92" w:rsidRDefault="005C4F92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3C520B" w:rsidRPr="00275CA7" w:rsidRDefault="0095522D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Nie uwzględniono </w:t>
            </w:r>
          </w:p>
        </w:tc>
      </w:tr>
      <w:tr w:rsidR="003C520B" w:rsidTr="003C520B">
        <w:trPr>
          <w:trHeight w:val="624"/>
        </w:trPr>
        <w:tc>
          <w:tcPr>
            <w:tcW w:w="2052" w:type="dxa"/>
            <w:tcBorders>
              <w:top w:val="nil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vAlign w:val="center"/>
          </w:tcPr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Rozdział 2, ust. 2 pkt 3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br/>
              <w:t>„</w:t>
            </w:r>
            <w:r w:rsidRPr="00035B2E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3)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035B2E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wzmocnienie potencjału organizacji pozarządowych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center"/>
          </w:tcPr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Proponuję poszerzyć cel, poprzez dodanie sformułowania: „oraz podmiotów wymienionych w art. 3 ust. 3 ustawy jako ważnego elementu rozwijającego się sektora ekonomii społecznej”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center"/>
          </w:tcPr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O</w:t>
            </w:r>
            <w:r w:rsidRPr="00035B2E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rganizacje pozarządowe stanowią ważny element sektora ekonomii społecznej (ES) w powiecie 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ostródzkim</w:t>
            </w:r>
            <w:r w:rsidRPr="00035B2E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. Są zresztą najliczniejszą grupą podmiotów działających w tej sferze. Jednocześnie, w świadomości części liderów i działaczy pozarządowych, sektor ekonomii społecznej stanowi odrębną od 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organizacji obywatelskich </w:t>
            </w:r>
            <w:r w:rsidRPr="00035B2E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rzeczywistość, z którą nie zawsze się utożsamiają. W tym kontekście zasadne wydaje się, aby świadomość osób zarządzających stowarzyszeniami i fundacjami budować również poprzez tworzenie dokumentów programowych samorządu, w których rola i znaczenie organizacji pozarządowych w sektorze ES zostaną odpowiednio wyartykułowane.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</w:tcPr>
          <w:p w:rsidR="00457048" w:rsidRDefault="00457048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457048" w:rsidRDefault="00457048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3C520B" w:rsidRDefault="00610C19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Uwzględniono </w:t>
            </w:r>
          </w:p>
          <w:p w:rsidR="002D2081" w:rsidRDefault="002D2081" w:rsidP="002D2081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C520B" w:rsidTr="003C520B">
        <w:trPr>
          <w:trHeight w:val="624"/>
        </w:trPr>
        <w:tc>
          <w:tcPr>
            <w:tcW w:w="2052" w:type="dxa"/>
            <w:tcBorders>
              <w:top w:val="nil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vAlign w:val="center"/>
          </w:tcPr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Rozdział 4, 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br/>
              <w:t xml:space="preserve">(…) </w:t>
            </w:r>
            <w:r w:rsidRPr="00E650C6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celem zaspokajania istniejących potrzeb społecznych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center"/>
          </w:tcPr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Proponuję po kropce dodać sformułowanie: „Powiat współpracuje z organizacjami również w zakresie diagnozy, analizy i oceny zjawisk społeczno-gospodarczych rodzących zapotrzebowanie na nowe rodzaje i formy realizacji zadań publicznych.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center"/>
          </w:tcPr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 w:rsidRPr="00035B2E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Krajowy Program Rozwoju Ekonomii Społecznej 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do 2023 r. </w:t>
            </w:r>
            <w:r w:rsidRPr="00035B2E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zwraca uwagę na potrzebę wspierania przedsięwzięć ES ukierunkowanych nie tylko na aktywizację społeczną i zawodową osób znajdujących się w trudniejszym położeniu (np. bezrobotni, bierni zawodowo, niepełnosprawni, bezdomni), ale również na bardziej efektywne </w:t>
            </w:r>
            <w:r w:rsidRPr="00035B2E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lastRenderedPageBreak/>
              <w:t>dostarczanie usług społecznych użyteczności publicznej oraz wspieranie rozwoju lokalnego, w którym organizacje pozarządowe będą odgrywały istotną rolę.</w:t>
            </w:r>
          </w:p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 w:rsidRPr="009835A2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Powyższe zagadnienie ma szczególne znaczenie w kontekście zmian demograficz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-</w:t>
            </w:r>
            <w:r w:rsidRPr="009835A2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nych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9835A2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społecznych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 i środowisko-wych (zmian klimatycznych)</w:t>
            </w:r>
            <w:r w:rsidRPr="009835A2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 oraz rosnących potrzeb mieszkańców powiatu w różnych obszarach. Nie da się opierać nowoczesnej polityki społecznej o zasiłki z pomocy społecznej i inne transfery socjalne. Warto zatem zwrócić uwagę na potrzeby artykułowane przez instytucje i organizacje zapewniające wsparcie określonym grupom społecznym oraz społecznościom lokalnym powiatu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, a także podejmować działania proaktywne, z jednej strony wyprzedzające wystąpienie lub nasilenie się określonych problemów społecznych, a z drugiej – umożliwiających wykorzystanie pojawiających się szans. Przykładem może tu być rozwijający się w UE nurt gospodarki o obiegu zamkniętym (z ang. circular economy), a w jego ramach działalność organizacji pozarządowych zajmujących się m.in. przeciwdziałaniem marnowaniu żywności, prowadzeniem punktów zbiórki i renowacji przedmiotów.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</w:tcPr>
          <w:p w:rsidR="00457048" w:rsidRDefault="00457048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457048" w:rsidRDefault="00457048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3C520B" w:rsidRDefault="00610C19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Uwzględniono częściowo. </w:t>
            </w:r>
          </w:p>
          <w:p w:rsidR="00610C19" w:rsidRPr="00610C19" w:rsidRDefault="00610C19" w:rsidP="00610C19">
            <w:pPr>
              <w:spacing w:after="0" w:line="240" w:lineRule="auto"/>
              <w:rPr>
                <w:rFonts w:ascii="Arial" w:eastAsia="Times New Roman" w:hAnsi="Aria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Dopisano: „</w:t>
            </w:r>
            <w:r w:rsidRPr="00610C19">
              <w:rPr>
                <w:rFonts w:ascii="Arial" w:eastAsia="Times New Roman" w:hAnsi="Arial"/>
                <w:bCs/>
                <w:color w:val="000000"/>
                <w:sz w:val="20"/>
                <w:szCs w:val="20"/>
                <w:lang w:eastAsia="pl-PL"/>
              </w:rPr>
              <w:t xml:space="preserve">Program jest otwarty na nowe rozwiązania szczególnie wynikające z wniosków i propozycji </w:t>
            </w:r>
            <w:r w:rsidR="00AC6540">
              <w:rPr>
                <w:rFonts w:ascii="Arial" w:eastAsia="Times New Roman" w:hAnsi="Arial"/>
                <w:bCs/>
                <w:color w:val="000000"/>
                <w:sz w:val="20"/>
                <w:szCs w:val="20"/>
                <w:lang w:eastAsia="pl-PL"/>
              </w:rPr>
              <w:t xml:space="preserve">zgłoszonych </w:t>
            </w:r>
            <w:r w:rsidR="00AC6540" w:rsidRPr="00AC6540">
              <w:rPr>
                <w:rFonts w:ascii="Arial" w:eastAsia="Times New Roman" w:hAnsi="Arial"/>
                <w:bCs/>
                <w:color w:val="000000"/>
                <w:sz w:val="20"/>
                <w:szCs w:val="20"/>
                <w:lang w:eastAsia="pl-PL"/>
              </w:rPr>
              <w:t>przez organizacje pozarządowe oraz podmioty, o których mowa w art. 3 ust. 3 ustawy.</w:t>
            </w:r>
          </w:p>
          <w:p w:rsidR="00610C19" w:rsidRPr="00035B2E" w:rsidRDefault="00610C19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C520B" w:rsidTr="003C520B">
        <w:trPr>
          <w:trHeight w:val="624"/>
        </w:trPr>
        <w:tc>
          <w:tcPr>
            <w:tcW w:w="2052" w:type="dxa"/>
            <w:tcBorders>
              <w:top w:val="nil"/>
              <w:left w:val="single" w:sz="4" w:space="0" w:color="002776"/>
              <w:bottom w:val="single" w:sz="4" w:space="0" w:color="auto"/>
              <w:right w:val="single" w:sz="4" w:space="0" w:color="002776"/>
            </w:tcBorders>
            <w:vAlign w:val="center"/>
          </w:tcPr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lastRenderedPageBreak/>
              <w:t>Rozdział 5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br/>
              <w:t>Formy współpracy</w:t>
            </w:r>
          </w:p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002776"/>
            </w:tcBorders>
            <w:vAlign w:val="center"/>
          </w:tcPr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lastRenderedPageBreak/>
              <w:t xml:space="preserve">Proponuję poszerzyć katalog - dopisać inne formy pozafinansowej współpracy pomiędzy 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lastRenderedPageBreak/>
              <w:t>samorządem powiatu a organizacjami pozarządowymi i podmiotami wymienionymi w art. 3 ust. 3 ustawy, w tym te już skutecznie realizowane, jak i nowe rozwiązania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2776"/>
            </w:tcBorders>
            <w:vAlign w:val="center"/>
          </w:tcPr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lastRenderedPageBreak/>
              <w:t>W</w:t>
            </w:r>
            <w:r w:rsidRPr="00504B47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zmocnienie kooperacji samorządu powiatu z sektorem społecznym 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m</w:t>
            </w:r>
            <w:r w:rsidRPr="00504B47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oże się odbywać </w:t>
            </w:r>
            <w:r w:rsidRPr="00504B47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lastRenderedPageBreak/>
              <w:t xml:space="preserve">poprzez włączanie organizacji pozarządowych w proces planowania, realizacji i monitorowania zadań publicznych w zakresie rozwoju społecznego przez powiat, w tym poprzez tworzenie oraz zapewnienie odpowiedniego zaplecza organizacyjnego i finansowego dla funkcjonowania ciał dialogu obywatelskiego takich jak 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powiatowa </w:t>
            </w:r>
            <w:r w:rsidRPr="00504B47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rada działalności pożytku publicznego, Zespół ds. ekonomii społecznej w powiecie 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ostródzkim</w:t>
            </w:r>
            <w:r w:rsidRPr="00504B47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, a także zespoły zajmujące się wypracowaniem lub monitoringiem dokumentów planistycznych w samorządzie. Ważną formą działań służących wzmacnianiu potencjału organizacji w realizacji zadań publicznych oraz tworzeniu warunków dla rozwoju inicjatyw i struktur lokalnych może być również współpraca z tzw. organizacjami infrastrukturalnymi, które tworzą podmioty wspierające III sektor (np. 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Ośrodek Wspierania Inicjatyw Ekonomii Społecznej, </w:t>
            </w:r>
            <w:r w:rsidRPr="00504B47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Centrum Organizacji Pozarządowych), sieci kooperacji, partnerstwa itp. Ponadto administracja samorządu mogłaby włączyć się w promocję zaangażowania mieszkańców powiatu w działalność organizacji pozarządowych w formie aktywnego członkostwa, wolontariatu, a także postaw filantropijnych wśród darczyńców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504B47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(np. poprzez materiały medialne, spotkania, konkursy, imprezy masowe)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 – chodzi nie tylko o wymienione w 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lastRenderedPageBreak/>
              <w:t>projekcie programu promowanie przekazywania 1% na rzecz OPP, ale też inne formy filantropii takie jak darowizny, datki, fundusze filantropijne, informowanie o możliwości odliczenia od podatku itp.</w:t>
            </w:r>
          </w:p>
          <w:p w:rsidR="003C520B" w:rsidRPr="004026DF" w:rsidRDefault="003C520B" w:rsidP="004026DF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 w:rsidRPr="004026DF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Ponadto zlecanie organizacjom pozarządowym i innym podmiotom ekonomii społecznej zadań publicznych przez Powiat 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Ostródzki</w:t>
            </w:r>
            <w:r w:rsidRPr="004026DF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 (w trybach przewidzianych w ustawie o działalności pożytku publicznego i o wolontariacie), mogłoby zostać „obudowane” o wdrożenie mechanizmu wkładu własnego, pożyczek, poręczeń, regrantingu oraz umów wieloletnich na realizację zadań publicznych. Rekomendowane jest również szersze stosowanie przez powiat w ramach zamówień publicznych (w trybie ustawy PZP oraz w trybie poniżej 30 tys. euro) rozwiązań ułatwiających nawiązywanie współpracy z 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organizacjami pozarządowymi i innymi podmiotami ES</w:t>
            </w:r>
            <w:r w:rsidRPr="004026DF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 w zakresie dostarczania usług użyteczności publicznej, w szczególności poprzez stosowanie:</w:t>
            </w:r>
          </w:p>
          <w:p w:rsidR="003C520B" w:rsidRPr="004026DF" w:rsidRDefault="003C520B" w:rsidP="004026DF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 w:rsidRPr="004026DF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a.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026DF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tzw. „klauzul społecznych” (art., 22 ust. 2 i art. 29 ust. 3a i ust. 4 PZP),</w:t>
            </w:r>
          </w:p>
          <w:p w:rsidR="003C520B" w:rsidRPr="004026DF" w:rsidRDefault="003C520B" w:rsidP="004026DF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 w:rsidRPr="004026DF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b.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026DF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pozacenowych kryteriów oceny ofert (art. 91 ust. 2 PZP),</w:t>
            </w:r>
          </w:p>
          <w:p w:rsidR="003C520B" w:rsidRPr="004026DF" w:rsidRDefault="003C520B" w:rsidP="004026DF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 w:rsidRPr="004026DF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c.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026DF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tzw. „klauzuli usługowej” (art. 138p PZP),</w:t>
            </w:r>
          </w:p>
          <w:p w:rsidR="003C520B" w:rsidRPr="004026DF" w:rsidRDefault="003C520B" w:rsidP="004026DF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 w:rsidRPr="004026DF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d.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026DF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możliwości wyłączenia stosowania ustawy PZP w przypadku przedsięwzięć </w:t>
            </w:r>
            <w:r w:rsidRPr="004026DF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lastRenderedPageBreak/>
              <w:t>rewitalizacyjnych zlecanych organizacjom pozarządowym lub spółdzielniom socjalnym (art. 4d ust. 1 pkt 5 PZP).</w:t>
            </w:r>
          </w:p>
          <w:p w:rsidR="003C520B" w:rsidRDefault="003C520B" w:rsidP="004026DF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 w:rsidRPr="004026DF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Stosowna wzmianka o poruszonych wyżej kwestiach mogłaby znaleźć się w Programie współpracy na 20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20</w:t>
            </w:r>
            <w:r w:rsidRPr="004026DF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 rok.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2776"/>
            </w:tcBorders>
          </w:tcPr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5B4751" w:rsidRDefault="005B4751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2D30FA" w:rsidRDefault="005B4751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Uwzględniono częściowo</w:t>
            </w:r>
            <w:r w:rsidR="00F67E35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.</w:t>
            </w:r>
          </w:p>
          <w:p w:rsidR="00806A13" w:rsidRDefault="00806A13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lastRenderedPageBreak/>
              <w:t xml:space="preserve">Rozdział 5 ust. 2 brzmi: </w:t>
            </w:r>
          </w:p>
          <w:p w:rsidR="005B4751" w:rsidRDefault="005B4751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806A13" w:rsidRPr="00806A13" w:rsidRDefault="00806A13" w:rsidP="00806A13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 w:rsidRPr="00806A13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2. Powiat:                                                                                                                                                 </w:t>
            </w:r>
          </w:p>
          <w:p w:rsidR="00806A13" w:rsidRPr="00806A13" w:rsidRDefault="00806A13" w:rsidP="00806A13">
            <w:pPr>
              <w:numPr>
                <w:ilvl w:val="0"/>
                <w:numId w:val="2"/>
              </w:numPr>
              <w:spacing w:after="0" w:line="240" w:lineRule="auto"/>
              <w:ind w:left="355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 w:rsidRPr="00806A13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inicjuje wzajemną wymianę informacji w zakresie planowanych kierunków działalności i współdziałania w celu zharmonizowania tych kierunków,</w:t>
            </w:r>
          </w:p>
          <w:p w:rsidR="00806A13" w:rsidRPr="00806A13" w:rsidRDefault="00806A13" w:rsidP="00806A13">
            <w:pPr>
              <w:numPr>
                <w:ilvl w:val="0"/>
                <w:numId w:val="2"/>
              </w:numPr>
              <w:spacing w:after="0" w:line="240" w:lineRule="auto"/>
              <w:ind w:left="355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 w:rsidRPr="00806A13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współorganizuje Targi Organizacji Pozarządowych Powiatu Ostródzkiego,</w:t>
            </w:r>
          </w:p>
          <w:p w:rsidR="00806A13" w:rsidRPr="00806A13" w:rsidRDefault="00806A13" w:rsidP="00806A13">
            <w:pPr>
              <w:spacing w:after="0" w:line="240" w:lineRule="auto"/>
              <w:ind w:left="355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 w:rsidRPr="00806A13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     3) prowadzi inne formy wsparcia, które obejmują w szczególności:</w:t>
            </w:r>
          </w:p>
          <w:p w:rsidR="00806A13" w:rsidRPr="00806A13" w:rsidRDefault="00806A13" w:rsidP="00806A13">
            <w:pPr>
              <w:numPr>
                <w:ilvl w:val="0"/>
                <w:numId w:val="3"/>
              </w:numPr>
              <w:spacing w:after="0" w:line="240" w:lineRule="auto"/>
              <w:ind w:left="355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 w:rsidRPr="00806A13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udzielanie informacji w zakresie tworzenia i funkcjonowania stowarzyszeń i fundacji,</w:t>
            </w:r>
          </w:p>
          <w:p w:rsidR="00806A13" w:rsidRPr="00806A13" w:rsidRDefault="00806A13" w:rsidP="00806A13">
            <w:pPr>
              <w:numPr>
                <w:ilvl w:val="0"/>
                <w:numId w:val="3"/>
              </w:numPr>
              <w:spacing w:after="0" w:line="240" w:lineRule="auto"/>
              <w:ind w:left="355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 w:rsidRPr="00806A13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współpracę w zakresie pozyskiwania środków finansowych z innych źródeł                    w szczególności poprzez informowanie o aktualnych konkursach,</w:t>
            </w:r>
          </w:p>
          <w:p w:rsidR="00806A13" w:rsidRPr="00806A13" w:rsidRDefault="00806A13" w:rsidP="00806A13">
            <w:pPr>
              <w:numPr>
                <w:ilvl w:val="0"/>
                <w:numId w:val="3"/>
              </w:numPr>
              <w:spacing w:after="0" w:line="240" w:lineRule="auto"/>
              <w:ind w:left="355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 w:rsidRPr="00806A13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promocję działań podejmowane przez organizacje poprzez zamieszczanie na stronie internetowej.</w:t>
            </w:r>
          </w:p>
          <w:p w:rsidR="00806A13" w:rsidRPr="00806A13" w:rsidRDefault="00806A13" w:rsidP="00806A13">
            <w:pPr>
              <w:numPr>
                <w:ilvl w:val="0"/>
                <w:numId w:val="3"/>
              </w:numPr>
              <w:spacing w:after="0" w:line="240" w:lineRule="auto"/>
              <w:ind w:left="355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 w:rsidRPr="00806A13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prowadzenie Centrum Użyteczności Publicznej, w którym znajdują się organizacje pozarządowe,</w:t>
            </w:r>
          </w:p>
          <w:p w:rsidR="00806A13" w:rsidRPr="00806A13" w:rsidRDefault="00806A13" w:rsidP="00806A13">
            <w:pPr>
              <w:numPr>
                <w:ilvl w:val="0"/>
                <w:numId w:val="3"/>
              </w:numPr>
              <w:spacing w:after="0" w:line="240" w:lineRule="auto"/>
              <w:ind w:left="355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 w:rsidRPr="00806A13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udzielanie wsparcia pozafinansowego (użyczenie sal konferencyjnych CUP),</w:t>
            </w:r>
          </w:p>
          <w:p w:rsidR="00806A13" w:rsidRPr="00806A13" w:rsidRDefault="00806A13" w:rsidP="00806A13">
            <w:pPr>
              <w:numPr>
                <w:ilvl w:val="0"/>
                <w:numId w:val="3"/>
              </w:numPr>
              <w:spacing w:after="0" w:line="240" w:lineRule="auto"/>
              <w:ind w:left="355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 w:rsidRPr="00806A13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promocję przekazywania 1% podatku dochodowego na podmioty Programu  </w:t>
            </w:r>
            <w:r w:rsidRPr="00806A13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lastRenderedPageBreak/>
              <w:t>działające na terenie Powiatu,</w:t>
            </w:r>
          </w:p>
          <w:p w:rsidR="00806A13" w:rsidRPr="00806A13" w:rsidRDefault="00806A13" w:rsidP="00806A13">
            <w:pPr>
              <w:numPr>
                <w:ilvl w:val="0"/>
                <w:numId w:val="3"/>
              </w:numPr>
              <w:spacing w:after="0" w:line="240" w:lineRule="auto"/>
              <w:ind w:left="355"/>
              <w:rPr>
                <w:rFonts w:ascii="Arial" w:eastAsia="Times New Roman" w:hAnsi="Arial"/>
                <w:bCs/>
                <w:color w:val="000000"/>
                <w:sz w:val="20"/>
                <w:szCs w:val="20"/>
                <w:lang w:eastAsia="pl-PL"/>
              </w:rPr>
            </w:pPr>
            <w:r w:rsidRPr="00806A13">
              <w:rPr>
                <w:rFonts w:ascii="Arial" w:eastAsia="Times New Roman" w:hAnsi="Arial"/>
                <w:bCs/>
                <w:color w:val="000000"/>
                <w:sz w:val="20"/>
                <w:szCs w:val="20"/>
                <w:lang w:eastAsia="pl-PL"/>
              </w:rPr>
              <w:t xml:space="preserve">prowadzenie punktu nieodpłatnej pomocy prawnej oraz nieodpłatnego poradnictwa obywatelskiego. </w:t>
            </w:r>
          </w:p>
          <w:p w:rsidR="00806A13" w:rsidRPr="00806A13" w:rsidRDefault="00806A13" w:rsidP="00806A13">
            <w:pPr>
              <w:numPr>
                <w:ilvl w:val="0"/>
                <w:numId w:val="3"/>
              </w:numPr>
              <w:spacing w:after="0" w:line="240" w:lineRule="auto"/>
              <w:ind w:left="355"/>
              <w:rPr>
                <w:rFonts w:ascii="Arial" w:eastAsia="Times New Roman" w:hAnsi="Arial"/>
                <w:bCs/>
                <w:color w:val="000000"/>
                <w:sz w:val="20"/>
                <w:szCs w:val="20"/>
                <w:lang w:eastAsia="pl-PL"/>
              </w:rPr>
            </w:pPr>
            <w:r w:rsidRPr="00806A13">
              <w:rPr>
                <w:rFonts w:ascii="Arial" w:eastAsia="Times New Roman" w:hAnsi="Arial"/>
                <w:bCs/>
                <w:color w:val="000000"/>
                <w:sz w:val="20"/>
                <w:szCs w:val="20"/>
                <w:lang w:eastAsia="pl-PL"/>
              </w:rPr>
              <w:t>udostępnianie miejsca na materiały promujące aktywność Podmiotów Programu (tablica informacyjna oraz zamykana gablota - budynek Centrum Użyteczności Publicznej)</w:t>
            </w:r>
          </w:p>
          <w:p w:rsidR="00806A13" w:rsidRPr="00806A13" w:rsidRDefault="00806A13" w:rsidP="00806A13">
            <w:pPr>
              <w:numPr>
                <w:ilvl w:val="0"/>
                <w:numId w:val="3"/>
              </w:numPr>
              <w:spacing w:after="0" w:line="240" w:lineRule="auto"/>
              <w:ind w:left="355"/>
              <w:rPr>
                <w:rFonts w:ascii="Arial" w:eastAsia="Times New Roman" w:hAnsi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06A13">
              <w:rPr>
                <w:rFonts w:ascii="Arial" w:eastAsia="Times New Roman" w:hAnsi="Arial"/>
                <w:bCs/>
                <w:color w:val="000000"/>
                <w:sz w:val="20"/>
                <w:szCs w:val="20"/>
                <w:lang w:eastAsia="pl-PL"/>
              </w:rPr>
              <w:t>wzmacnianie roli organizacji pozarządowych poprzez tworzenie Rady Działalności Pożytku Publicznego oraz zapewnienie zaplecza technicznego dla ciał dialogu obywatelskiego.</w:t>
            </w:r>
          </w:p>
          <w:p w:rsidR="00F67E35" w:rsidRDefault="00F67E35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C520B" w:rsidTr="003C520B">
        <w:trPr>
          <w:trHeight w:val="624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lastRenderedPageBreak/>
              <w:t>Rozdział 10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br/>
              <w:t>Sposób oceny realizacji programu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P</w:t>
            </w:r>
            <w:r w:rsidRPr="004B463B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roponuj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ę</w:t>
            </w:r>
            <w:r w:rsidRPr="004B463B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 wpisanie do programu, w rozdziale dotyczącym sposobu oceny realizacji (ewaluacja i monitorowanie współpracy), wskaźników, które będą w większym stopniu obrazowały zakres 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i rezultaty </w:t>
            </w:r>
            <w:r w:rsidRPr="004B463B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podejmowanych działań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, np. </w:t>
            </w:r>
          </w:p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4B463B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liczb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a</w:t>
            </w:r>
            <w:r w:rsidRPr="004B463B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 mieszkańców powiatu uczestniczących w projektach (zadaniach publicznych) realizowanych przez organizacje pozarządowe przy wsparciu z budżetu powiatu; </w:t>
            </w:r>
          </w:p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4B463B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liczb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a</w:t>
            </w:r>
            <w:r w:rsidRPr="004B463B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 ciał dialogu obywatelskiego w tym wspólnych zespołów o charakterze doradczym i inicjatywnym, a także liczb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a</w:t>
            </w:r>
            <w:r w:rsidRPr="004B463B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 przedstawicieli sektora pozarządowego 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uczestniczących </w:t>
            </w:r>
            <w:r w:rsidRPr="004B463B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w tych ciałach</w:t>
            </w: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;</w:t>
            </w:r>
          </w:p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- liczba dokumentów samorządu powiatu przekazanych do konsultacji organizacjom;</w:t>
            </w:r>
          </w:p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- liczba zorganizowanych spotkań informacyjnych, szkoleń, konferencji itp. adresowanych do działaczy sektora obywatelskiego; liczba uczestników tych wydarzeń.</w:t>
            </w:r>
          </w:p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lastRenderedPageBreak/>
              <w:t>- liczba projektów/przedsięwzięć finansowanych ze źródeł zewnętrznych, realizowanych we współpracy samorządu powiatu z organizacjami pozarządowymi.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lastRenderedPageBreak/>
              <w:t>Zaproponowane w projekcie programu wskaźniki ewaluacji dotyczą tylko i wyłącznie współpracy finansowej prowadzonej w trybie otwartych konkursów ofert. Tymczasem jest to tylko część współpracy, którą powiat prowadzi z organizacjami.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20B" w:rsidRDefault="003C520B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AC28A7" w:rsidRDefault="00AC28A7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AC28A7" w:rsidRDefault="00AC28A7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Uwzględniono częściowo</w:t>
            </w:r>
            <w:r w:rsidR="00FE321D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:</w:t>
            </w:r>
          </w:p>
          <w:p w:rsidR="00FE321D" w:rsidRDefault="00FE321D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Rozdział 10, ust. 2 brzmi:</w:t>
            </w:r>
          </w:p>
          <w:p w:rsidR="00AC28A7" w:rsidRDefault="00AC28A7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FE321D" w:rsidRPr="00FE321D" w:rsidRDefault="00FE321D" w:rsidP="00FE321D">
            <w:pPr>
              <w:spacing w:after="0" w:line="240" w:lineRule="auto"/>
              <w:ind w:left="360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2.</w:t>
            </w:r>
            <w:r w:rsidRPr="00FE321D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Celem monitoringu realizacji Programu ustala się następujące wskaźniki ewaluacji:</w:t>
            </w:r>
          </w:p>
          <w:p w:rsidR="00FE321D" w:rsidRPr="00FE321D" w:rsidRDefault="00FE321D" w:rsidP="00FE321D">
            <w:pPr>
              <w:numPr>
                <w:ilvl w:val="0"/>
                <w:numId w:val="5"/>
              </w:numPr>
              <w:spacing w:after="0" w:line="240" w:lineRule="auto"/>
              <w:ind w:left="497" w:hanging="284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 w:rsidRPr="00FE321D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liczba ogłoszonych otwartych konkursów ofert,</w:t>
            </w:r>
          </w:p>
          <w:p w:rsidR="00FE321D" w:rsidRPr="00FE321D" w:rsidRDefault="00FE321D" w:rsidP="00FE321D">
            <w:pPr>
              <w:numPr>
                <w:ilvl w:val="0"/>
                <w:numId w:val="5"/>
              </w:numPr>
              <w:spacing w:after="0" w:line="240" w:lineRule="auto"/>
              <w:ind w:left="497" w:hanging="284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 w:rsidRPr="00FE321D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liczba ofert złożonych w otwartych konkursach ofert, </w:t>
            </w:r>
          </w:p>
          <w:p w:rsidR="00FE321D" w:rsidRPr="00FE321D" w:rsidRDefault="00FE321D" w:rsidP="00FE321D">
            <w:pPr>
              <w:numPr>
                <w:ilvl w:val="0"/>
                <w:numId w:val="5"/>
              </w:numPr>
              <w:spacing w:after="0" w:line="240" w:lineRule="auto"/>
              <w:ind w:left="497" w:hanging="284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 w:rsidRPr="00FE321D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liczba mieszkańców powiatu uczestnicząca w zadaniach publicznych,</w:t>
            </w:r>
          </w:p>
          <w:p w:rsidR="00FE321D" w:rsidRPr="00FE321D" w:rsidRDefault="00A763AC" w:rsidP="00FE321D">
            <w:pPr>
              <w:numPr>
                <w:ilvl w:val="0"/>
                <w:numId w:val="5"/>
              </w:numPr>
              <w:spacing w:after="0" w:line="240" w:lineRule="auto"/>
              <w:ind w:left="497" w:hanging="284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 w:rsidRPr="00FE321D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liczba umów zawartych na realizację zadań publicznych, w tym ilość podmiotów programu,</w:t>
            </w:r>
          </w:p>
          <w:p w:rsidR="00B7697B" w:rsidRPr="00FE321D" w:rsidRDefault="00FE321D" w:rsidP="00FE321D">
            <w:pPr>
              <w:numPr>
                <w:ilvl w:val="0"/>
                <w:numId w:val="5"/>
              </w:numPr>
              <w:spacing w:after="0" w:line="240" w:lineRule="auto"/>
              <w:ind w:left="497" w:hanging="284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 w:rsidRPr="00FE321D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liczba umów na realizację zadań publicznych, które nie zostały zrealizowane lub zostały rozwiązane z przyczyn zależnych od podmiotów programu,</w:t>
            </w:r>
          </w:p>
          <w:p w:rsidR="00FE321D" w:rsidRPr="00FE321D" w:rsidRDefault="00FE321D" w:rsidP="00FE321D">
            <w:pPr>
              <w:numPr>
                <w:ilvl w:val="0"/>
                <w:numId w:val="5"/>
              </w:numPr>
              <w:spacing w:after="0" w:line="240" w:lineRule="auto"/>
              <w:ind w:left="497" w:hanging="284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 w:rsidRPr="00FE321D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liczba zespołów o charakterze doradczym i inicjatywnym,</w:t>
            </w:r>
          </w:p>
          <w:p w:rsidR="00FE321D" w:rsidRPr="00FE321D" w:rsidRDefault="00FE321D" w:rsidP="00FE321D">
            <w:pPr>
              <w:numPr>
                <w:ilvl w:val="0"/>
                <w:numId w:val="5"/>
              </w:numPr>
              <w:spacing w:after="0" w:line="240" w:lineRule="auto"/>
              <w:ind w:left="497" w:hanging="284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 w:rsidRPr="00FE321D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 xml:space="preserve">liczba umów o użyczenie pomieszczeń biurowych Centrum Użyteczności Publicznej, </w:t>
            </w:r>
          </w:p>
          <w:p w:rsidR="00B7697B" w:rsidRPr="00FE321D" w:rsidRDefault="00FE321D" w:rsidP="00FE321D">
            <w:pPr>
              <w:numPr>
                <w:ilvl w:val="0"/>
                <w:numId w:val="5"/>
              </w:numPr>
              <w:spacing w:after="0" w:line="240" w:lineRule="auto"/>
              <w:ind w:left="497" w:hanging="284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 w:rsidRPr="00FE321D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lastRenderedPageBreak/>
              <w:t xml:space="preserve">liczba spotkań zrealizowanych przez podmioty programu w budynku Centrum Użyteczności Publicznej, </w:t>
            </w:r>
          </w:p>
          <w:p w:rsidR="00FE321D" w:rsidRPr="00FE321D" w:rsidRDefault="00FE321D" w:rsidP="00FE321D">
            <w:pPr>
              <w:numPr>
                <w:ilvl w:val="0"/>
                <w:numId w:val="5"/>
              </w:numPr>
              <w:spacing w:after="0" w:line="240" w:lineRule="auto"/>
              <w:ind w:left="497" w:hanging="284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 w:rsidRPr="00FE321D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ilość zadań, których realizację zleca się podmiotom programu,</w:t>
            </w:r>
          </w:p>
          <w:p w:rsidR="00FE321D" w:rsidRPr="00FE321D" w:rsidRDefault="00FE321D" w:rsidP="00FE321D">
            <w:pPr>
              <w:numPr>
                <w:ilvl w:val="0"/>
                <w:numId w:val="5"/>
              </w:numPr>
              <w:spacing w:after="0" w:line="240" w:lineRule="auto"/>
              <w:ind w:left="497" w:hanging="284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 w:rsidRPr="00FE321D"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wysokość kwot udzielonych dotacji w poszczególnych obszarach zadaniowych,</w:t>
            </w:r>
          </w:p>
          <w:p w:rsidR="00AC28A7" w:rsidRDefault="00AC28A7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:rsidR="00AC28A7" w:rsidRDefault="00AC28A7" w:rsidP="00E36B0C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1870EF" w:rsidRDefault="001870EF"/>
    <w:sectPr w:rsidR="00187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FD7" w:rsidRDefault="000C6FD7" w:rsidP="00275CA7">
      <w:pPr>
        <w:spacing w:after="0" w:line="240" w:lineRule="auto"/>
      </w:pPr>
      <w:r>
        <w:separator/>
      </w:r>
    </w:p>
  </w:endnote>
  <w:endnote w:type="continuationSeparator" w:id="0">
    <w:p w:rsidR="000C6FD7" w:rsidRDefault="000C6FD7" w:rsidP="00275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FD7" w:rsidRDefault="000C6FD7" w:rsidP="00275CA7">
      <w:pPr>
        <w:spacing w:after="0" w:line="240" w:lineRule="auto"/>
      </w:pPr>
      <w:r>
        <w:separator/>
      </w:r>
    </w:p>
  </w:footnote>
  <w:footnote w:type="continuationSeparator" w:id="0">
    <w:p w:rsidR="000C6FD7" w:rsidRDefault="000C6FD7" w:rsidP="00275C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BD5F3E"/>
    <w:multiLevelType w:val="hybridMultilevel"/>
    <w:tmpl w:val="9538FD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21024"/>
    <w:multiLevelType w:val="hybridMultilevel"/>
    <w:tmpl w:val="BEE883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DA26CC"/>
    <w:multiLevelType w:val="hybridMultilevel"/>
    <w:tmpl w:val="F6F237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96808CA">
      <w:start w:val="1"/>
      <w:numFmt w:val="decimal"/>
      <w:lvlText w:val="%2."/>
      <w:lvlJc w:val="left"/>
      <w:pPr>
        <w:ind w:left="1530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276CD8"/>
    <w:multiLevelType w:val="hybridMultilevel"/>
    <w:tmpl w:val="CE48270A"/>
    <w:lvl w:ilvl="0" w:tplc="E3A0187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C46257"/>
    <w:multiLevelType w:val="hybridMultilevel"/>
    <w:tmpl w:val="CD46A8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924"/>
    <w:rsid w:val="00034B26"/>
    <w:rsid w:val="00035B2E"/>
    <w:rsid w:val="00067B6D"/>
    <w:rsid w:val="00093122"/>
    <w:rsid w:val="000C6FD7"/>
    <w:rsid w:val="000E6D61"/>
    <w:rsid w:val="001870EF"/>
    <w:rsid w:val="00190924"/>
    <w:rsid w:val="001E47A5"/>
    <w:rsid w:val="00275CA7"/>
    <w:rsid w:val="002D2081"/>
    <w:rsid w:val="002D30FA"/>
    <w:rsid w:val="003142BA"/>
    <w:rsid w:val="003C520B"/>
    <w:rsid w:val="004026DF"/>
    <w:rsid w:val="00457048"/>
    <w:rsid w:val="004B463B"/>
    <w:rsid w:val="004F026D"/>
    <w:rsid w:val="00504B47"/>
    <w:rsid w:val="005B4751"/>
    <w:rsid w:val="005C4F92"/>
    <w:rsid w:val="005C514F"/>
    <w:rsid w:val="005F5DA0"/>
    <w:rsid w:val="00610C19"/>
    <w:rsid w:val="006D25F0"/>
    <w:rsid w:val="006F418E"/>
    <w:rsid w:val="007052FA"/>
    <w:rsid w:val="00727F3A"/>
    <w:rsid w:val="00806A13"/>
    <w:rsid w:val="00883817"/>
    <w:rsid w:val="008F6FB5"/>
    <w:rsid w:val="0090341E"/>
    <w:rsid w:val="00950B4D"/>
    <w:rsid w:val="0095522D"/>
    <w:rsid w:val="009835A2"/>
    <w:rsid w:val="00A763AC"/>
    <w:rsid w:val="00AC28A7"/>
    <w:rsid w:val="00AC6540"/>
    <w:rsid w:val="00BC5461"/>
    <w:rsid w:val="00C54EFD"/>
    <w:rsid w:val="00C94550"/>
    <w:rsid w:val="00D658A7"/>
    <w:rsid w:val="00D95A92"/>
    <w:rsid w:val="00DA63E7"/>
    <w:rsid w:val="00E36B0C"/>
    <w:rsid w:val="00E650C6"/>
    <w:rsid w:val="00EC2935"/>
    <w:rsid w:val="00F12FEC"/>
    <w:rsid w:val="00F33A56"/>
    <w:rsid w:val="00F45476"/>
    <w:rsid w:val="00F67E35"/>
    <w:rsid w:val="00F84484"/>
    <w:rsid w:val="00FB3440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E83E25-7031-4509-A3A4-A292FA652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52FA"/>
    <w:pPr>
      <w:spacing w:after="200" w:line="276" w:lineRule="auto"/>
    </w:pPr>
    <w:rPr>
      <w:rFonts w:ascii="Calibri" w:eastAsia="Calibri" w:hAnsi="Calibri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7052FA"/>
    <w:rPr>
      <w:color w:val="0000FF"/>
      <w:u w:val="single"/>
    </w:rPr>
  </w:style>
  <w:style w:type="paragraph" w:customStyle="1" w:styleId="Akapitzlist1">
    <w:name w:val="Akapit z listą1"/>
    <w:basedOn w:val="Normalny"/>
    <w:uiPriority w:val="34"/>
    <w:qFormat/>
    <w:rsid w:val="007052F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29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2935"/>
    <w:rPr>
      <w:rFonts w:ascii="Segoe UI" w:eastAsia="Calibr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75CA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75CA7"/>
    <w:rPr>
      <w:rFonts w:ascii="Calibri" w:eastAsia="Calibri" w:hAnsi="Calibri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75CA7"/>
    <w:rPr>
      <w:vertAlign w:val="superscript"/>
    </w:rPr>
  </w:style>
  <w:style w:type="paragraph" w:styleId="Akapitzlist">
    <w:name w:val="List Paragraph"/>
    <w:basedOn w:val="Normalny"/>
    <w:uiPriority w:val="34"/>
    <w:qFormat/>
    <w:rsid w:val="00FE32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7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wiat.ostrod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p.powiat.ostro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1900</Words>
  <Characters>11400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Aleksandra Rosłoniec</cp:lastModifiedBy>
  <cp:revision>20</cp:revision>
  <cp:lastPrinted>2019-10-31T08:49:00Z</cp:lastPrinted>
  <dcterms:created xsi:type="dcterms:W3CDTF">2019-10-23T09:43:00Z</dcterms:created>
  <dcterms:modified xsi:type="dcterms:W3CDTF">2019-11-04T13:54:00Z</dcterms:modified>
</cp:coreProperties>
</file>