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AF1F5" w14:textId="77777777" w:rsidR="00BE53FE" w:rsidRDefault="00BE53FE" w:rsidP="004A44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C39A89E" w14:textId="77777777" w:rsidR="00BE53FE" w:rsidRDefault="00BE53FE" w:rsidP="004A44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729B5F7E" w14:textId="16711B86" w:rsidR="004A4495" w:rsidRDefault="004A4495" w:rsidP="004A4495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UCHWAŁA NR ………………….</w:t>
      </w:r>
      <w:r>
        <w:rPr>
          <w:rFonts w:ascii="Arial" w:hAnsi="Arial" w:cs="Arial"/>
          <w:b/>
          <w:bCs/>
          <w:sz w:val="24"/>
          <w:szCs w:val="24"/>
        </w:rPr>
        <w:br/>
        <w:t>RADY POWIATU W OSTRÓDZIE</w:t>
      </w:r>
      <w:r>
        <w:rPr>
          <w:rFonts w:ascii="Arial" w:hAnsi="Arial" w:cs="Arial"/>
          <w:b/>
          <w:bCs/>
          <w:sz w:val="24"/>
          <w:szCs w:val="24"/>
        </w:rPr>
        <w:br/>
        <w:t>z dnia ……………………… 2025 r.</w:t>
      </w:r>
    </w:p>
    <w:p w14:paraId="4DAB6952" w14:textId="77777777" w:rsidR="004A4495" w:rsidRDefault="004A4495" w:rsidP="004A4495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43F45511" w14:textId="77777777" w:rsidR="004A4495" w:rsidRDefault="004A4495" w:rsidP="004A449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w sprawie rozpatrzenia skargi na działanie Starosty Ostródzkiego</w:t>
      </w:r>
    </w:p>
    <w:p w14:paraId="0F7044B2" w14:textId="77777777" w:rsidR="004A4495" w:rsidRDefault="004A4495" w:rsidP="004A4495">
      <w:pPr>
        <w:rPr>
          <w:rFonts w:ascii="Arial" w:hAnsi="Arial" w:cs="Arial"/>
          <w:b/>
          <w:bCs/>
          <w:sz w:val="24"/>
          <w:szCs w:val="24"/>
        </w:rPr>
      </w:pPr>
    </w:p>
    <w:p w14:paraId="61081A22" w14:textId="77777777" w:rsidR="004A4495" w:rsidRDefault="004A4495" w:rsidP="004A44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 podstawie art.</w:t>
      </w:r>
      <w:r>
        <w:rPr>
          <w:rFonts w:ascii="Arial" w:hAnsi="Arial" w:cs="Arial"/>
          <w:kern w:val="0"/>
          <w:sz w:val="24"/>
          <w14:ligatures w14:val="none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229 pkt 4 </w:t>
      </w:r>
      <w:bookmarkStart w:id="0" w:name="_Hlk134529309"/>
      <w:r>
        <w:rPr>
          <w:rFonts w:ascii="Arial" w:hAnsi="Arial" w:cs="Arial"/>
          <w:sz w:val="24"/>
          <w:szCs w:val="24"/>
        </w:rPr>
        <w:t xml:space="preserve">ustawy z dnia 14 czerwca 1960 r. Kodeks postępowania administracyjnego </w:t>
      </w:r>
      <w:bookmarkEnd w:id="0"/>
      <w:r>
        <w:rPr>
          <w:rFonts w:ascii="Arial" w:hAnsi="Arial" w:cs="Arial"/>
          <w:sz w:val="24"/>
          <w:szCs w:val="24"/>
        </w:rPr>
        <w:t>(Dz. U. z 2024 r. poz. 572) uchwala się, co następuje:</w:t>
      </w:r>
    </w:p>
    <w:p w14:paraId="0EDF7068" w14:textId="77777777" w:rsidR="004A4495" w:rsidRDefault="004A4495" w:rsidP="004A4495">
      <w:pPr>
        <w:jc w:val="center"/>
        <w:rPr>
          <w:rFonts w:ascii="Arial" w:hAnsi="Arial" w:cs="Arial"/>
          <w:sz w:val="6"/>
          <w:szCs w:val="6"/>
        </w:rPr>
      </w:pPr>
    </w:p>
    <w:p w14:paraId="2CE80865" w14:textId="77777777" w:rsidR="004A4495" w:rsidRDefault="004A4495" w:rsidP="004A44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§1</w:t>
      </w:r>
    </w:p>
    <w:p w14:paraId="5C96D086" w14:textId="529411FC" w:rsidR="004A4495" w:rsidRDefault="004A4495" w:rsidP="004A4495">
      <w:pPr>
        <w:jc w:val="both"/>
        <w:rPr>
          <w:rFonts w:ascii="Arial" w:hAnsi="Arial" w:cs="Arial"/>
          <w:sz w:val="24"/>
          <w:szCs w:val="24"/>
        </w:rPr>
      </w:pPr>
      <w:bookmarkStart w:id="1" w:name="_Hlk134435827"/>
      <w:r>
        <w:rPr>
          <w:rFonts w:ascii="Arial" w:hAnsi="Arial" w:cs="Arial"/>
          <w:sz w:val="24"/>
          <w:szCs w:val="24"/>
        </w:rPr>
        <w:t xml:space="preserve">Skargę </w:t>
      </w:r>
      <w:bookmarkStart w:id="2" w:name="_Hlk177383930"/>
      <w:bookmarkStart w:id="3" w:name="_Hlk177119027"/>
      <w:r>
        <w:rPr>
          <w:rFonts w:ascii="Arial" w:hAnsi="Arial" w:cs="Arial"/>
          <w:sz w:val="24"/>
          <w:szCs w:val="24"/>
        </w:rPr>
        <w:t xml:space="preserve">na działanie </w:t>
      </w:r>
      <w:bookmarkEnd w:id="1"/>
      <w:bookmarkEnd w:id="2"/>
      <w:bookmarkEnd w:id="3"/>
      <w:r w:rsidRPr="00345900">
        <w:rPr>
          <w:rFonts w:ascii="Arial" w:hAnsi="Arial" w:cs="Arial"/>
          <w:sz w:val="24"/>
          <w:szCs w:val="24"/>
        </w:rPr>
        <w:t xml:space="preserve">Starosty Ostródzkiego związane </w:t>
      </w:r>
      <w:bookmarkStart w:id="4" w:name="_Hlk188257155"/>
      <w:r w:rsidR="004F4D00">
        <w:rPr>
          <w:rFonts w:ascii="Arial" w:hAnsi="Arial" w:cs="Arial"/>
          <w:sz w:val="24"/>
          <w:szCs w:val="24"/>
        </w:rPr>
        <w:t>z „dysponowaniem środkami Powiatu Ostródzkiego w sposób niegospodarny</w:t>
      </w:r>
      <w:r w:rsidR="00B214AF">
        <w:rPr>
          <w:rFonts w:ascii="Arial" w:hAnsi="Arial" w:cs="Arial"/>
          <w:sz w:val="24"/>
          <w:szCs w:val="24"/>
        </w:rPr>
        <w:t>”</w:t>
      </w:r>
      <w:r w:rsidR="004F4D00">
        <w:rPr>
          <w:rFonts w:ascii="Arial" w:hAnsi="Arial" w:cs="Arial"/>
          <w:sz w:val="24"/>
          <w:szCs w:val="24"/>
        </w:rPr>
        <w:t xml:space="preserve"> poprzez sfinansowanie </w:t>
      </w:r>
      <w:bookmarkStart w:id="5" w:name="_Hlk188260271"/>
      <w:r w:rsidR="004F0635">
        <w:rPr>
          <w:rFonts w:ascii="Arial" w:hAnsi="Arial" w:cs="Arial"/>
          <w:sz w:val="24"/>
          <w:szCs w:val="24"/>
        </w:rPr>
        <w:t>w VI kadencji Rady Powiatu w Ostródzie</w:t>
      </w:r>
      <w:bookmarkEnd w:id="5"/>
      <w:r w:rsidR="004F0635">
        <w:rPr>
          <w:rFonts w:ascii="Arial" w:hAnsi="Arial" w:cs="Arial"/>
          <w:sz w:val="24"/>
          <w:szCs w:val="24"/>
        </w:rPr>
        <w:t xml:space="preserve"> </w:t>
      </w:r>
      <w:r w:rsidR="00B214AF">
        <w:rPr>
          <w:rFonts w:ascii="Arial" w:hAnsi="Arial" w:cs="Arial"/>
          <w:sz w:val="24"/>
          <w:szCs w:val="24"/>
        </w:rPr>
        <w:t>studiów podyplomowych</w:t>
      </w:r>
      <w:r w:rsidR="001E5935">
        <w:rPr>
          <w:rFonts w:ascii="Arial" w:hAnsi="Arial" w:cs="Arial"/>
          <w:sz w:val="24"/>
          <w:szCs w:val="24"/>
        </w:rPr>
        <w:t xml:space="preserve"> z zakresu</w:t>
      </w:r>
      <w:r w:rsidR="00B214AF">
        <w:rPr>
          <w:rFonts w:ascii="Arial" w:hAnsi="Arial" w:cs="Arial"/>
          <w:sz w:val="24"/>
          <w:szCs w:val="24"/>
        </w:rPr>
        <w:t xml:space="preserve"> MBA Staroście Ostródzkiemu i Wicestaroście </w:t>
      </w:r>
      <w:bookmarkEnd w:id="4"/>
      <w:r w:rsidR="00F21A6F">
        <w:rPr>
          <w:rFonts w:ascii="Arial" w:hAnsi="Arial" w:cs="Arial"/>
          <w:sz w:val="24"/>
          <w:szCs w:val="24"/>
        </w:rPr>
        <w:t>oraz powoł</w:t>
      </w:r>
      <w:r w:rsidR="0028105F">
        <w:rPr>
          <w:rFonts w:ascii="Arial" w:hAnsi="Arial" w:cs="Arial"/>
          <w:sz w:val="24"/>
          <w:szCs w:val="24"/>
        </w:rPr>
        <w:t>ywaniem</w:t>
      </w:r>
      <w:r w:rsidR="00F21A6F">
        <w:rPr>
          <w:rFonts w:ascii="Arial" w:hAnsi="Arial" w:cs="Arial"/>
          <w:sz w:val="24"/>
          <w:szCs w:val="24"/>
        </w:rPr>
        <w:t xml:space="preserve"> do Rady Nadzorczej Szpitala </w:t>
      </w:r>
      <w:r w:rsidR="00A76296">
        <w:rPr>
          <w:rFonts w:ascii="Arial" w:hAnsi="Arial" w:cs="Arial"/>
          <w:sz w:val="24"/>
          <w:szCs w:val="24"/>
        </w:rPr>
        <w:br/>
      </w:r>
      <w:r w:rsidR="00F21A6F">
        <w:rPr>
          <w:rFonts w:ascii="Arial" w:hAnsi="Arial" w:cs="Arial"/>
          <w:sz w:val="24"/>
          <w:szCs w:val="24"/>
        </w:rPr>
        <w:t>w Ostródzie „osób nieposiadających</w:t>
      </w:r>
      <w:r w:rsidR="000D3FD2">
        <w:rPr>
          <w:rFonts w:ascii="Arial" w:hAnsi="Arial" w:cs="Arial"/>
          <w:sz w:val="24"/>
          <w:szCs w:val="24"/>
        </w:rPr>
        <w:t xml:space="preserve"> jakiegokolwiek</w:t>
      </w:r>
      <w:r w:rsidR="00F21A6F">
        <w:rPr>
          <w:rFonts w:ascii="Arial" w:hAnsi="Arial" w:cs="Arial"/>
          <w:sz w:val="24"/>
          <w:szCs w:val="24"/>
        </w:rPr>
        <w:t xml:space="preserve"> doświadczenia w nadzorowaniu działalności spółki z dziedziny służby zdrowia” </w:t>
      </w:r>
      <w:r>
        <w:rPr>
          <w:rFonts w:ascii="Arial" w:hAnsi="Arial" w:cs="Arial"/>
          <w:sz w:val="24"/>
          <w:szCs w:val="24"/>
        </w:rPr>
        <w:t>uznaje się za bezzasadną z przyczyn wskazanych w uzasadnieniu do niniejszej uchwały.</w:t>
      </w:r>
    </w:p>
    <w:p w14:paraId="20CA899C" w14:textId="77777777" w:rsidR="004A4495" w:rsidRDefault="004A4495" w:rsidP="004A44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§2</w:t>
      </w:r>
    </w:p>
    <w:p w14:paraId="150DF2DA" w14:textId="77777777" w:rsidR="004A4495" w:rsidRDefault="004A4495" w:rsidP="004A449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Wykonanie uchwały powierza się Przewodniczącemu Rady Powiatu w Ostródzie.</w:t>
      </w:r>
    </w:p>
    <w:p w14:paraId="532A4C1E" w14:textId="77777777" w:rsidR="004A4495" w:rsidRDefault="004A4495" w:rsidP="004A4495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§3</w:t>
      </w:r>
    </w:p>
    <w:p w14:paraId="18B6FA36" w14:textId="77777777" w:rsidR="004A4495" w:rsidRDefault="004A4495" w:rsidP="004A449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Uchwała wchodzi w życie z dniem podjęcia i podlega podaniu do publicznej wiadomości.</w:t>
      </w:r>
    </w:p>
    <w:p w14:paraId="3EA99EE4" w14:textId="77777777" w:rsidR="004A4495" w:rsidRDefault="004A4495" w:rsidP="004A4495">
      <w:pPr>
        <w:rPr>
          <w:rFonts w:ascii="Arial" w:hAnsi="Arial" w:cs="Arial"/>
          <w:b/>
          <w:bCs/>
          <w:sz w:val="24"/>
          <w:szCs w:val="24"/>
        </w:rPr>
      </w:pPr>
    </w:p>
    <w:p w14:paraId="0C41704A" w14:textId="77777777" w:rsidR="004A4495" w:rsidRDefault="004A4495" w:rsidP="004A4495">
      <w:pPr>
        <w:rPr>
          <w:rFonts w:ascii="Arial" w:hAnsi="Arial" w:cs="Arial"/>
          <w:b/>
          <w:bCs/>
          <w:sz w:val="24"/>
          <w:szCs w:val="24"/>
        </w:rPr>
      </w:pPr>
    </w:p>
    <w:p w14:paraId="457D8A18" w14:textId="77777777" w:rsidR="004A4495" w:rsidRDefault="004A4495" w:rsidP="004A449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br w:type="page"/>
      </w:r>
    </w:p>
    <w:p w14:paraId="19D36D20" w14:textId="0389C745" w:rsidR="00417272" w:rsidRDefault="004A4495" w:rsidP="0041727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Uzasadnienie</w:t>
      </w:r>
    </w:p>
    <w:p w14:paraId="1EC266D3" w14:textId="77777777" w:rsidR="00417272" w:rsidRPr="00417272" w:rsidRDefault="00417272" w:rsidP="00417272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417272">
        <w:rPr>
          <w:rFonts w:ascii="Arial" w:hAnsi="Arial" w:cs="Arial"/>
          <w:sz w:val="24"/>
          <w:szCs w:val="24"/>
        </w:rPr>
        <w:t xml:space="preserve">W dniu 13 stycznia 2025 r. do Rady Powiatu w Ostródzie wpłynęła skarga radnego </w:t>
      </w:r>
      <w:r w:rsidRPr="00417272">
        <w:rPr>
          <w:rFonts w:ascii="Arial" w:hAnsi="Arial" w:cs="Arial"/>
          <w:sz w:val="24"/>
          <w:szCs w:val="24"/>
        </w:rPr>
        <w:br/>
        <w:t xml:space="preserve">Piotra Kołodziejskiego na działanie Starosty Ostródzkiego związane </w:t>
      </w:r>
      <w:r w:rsidRPr="00417272">
        <w:rPr>
          <w:rFonts w:ascii="Arial" w:hAnsi="Arial" w:cs="Arial"/>
          <w:sz w:val="24"/>
          <w:szCs w:val="24"/>
        </w:rPr>
        <w:br/>
        <w:t xml:space="preserve">z „dysponowaniem środkami Powiatu Ostródzkiego w sposób niegospodarny” poprzez sfinansowanie w VI kadencji Rady Powiatu w Ostródzie studiów podyplomowych </w:t>
      </w:r>
      <w:r w:rsidRPr="00417272">
        <w:rPr>
          <w:rFonts w:ascii="Arial" w:hAnsi="Arial" w:cs="Arial"/>
          <w:sz w:val="24"/>
          <w:szCs w:val="24"/>
        </w:rPr>
        <w:br/>
        <w:t>z zakresu MBA Staroście Ostródzkiemu i Wicestaroście oraz powoływaniem do Rady Nadzorczej Szpitala w Ostródzie „osób nieposiadających jakiegokolwiek doświadczenia w nadzorowaniu działalności spółki z dziedziny służby zdrowia”.</w:t>
      </w:r>
    </w:p>
    <w:p w14:paraId="22EF6B12" w14:textId="52097BC5" w:rsidR="00417272" w:rsidRPr="00417272" w:rsidRDefault="00417272" w:rsidP="00417272">
      <w:pPr>
        <w:spacing w:line="252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 xml:space="preserve">Komisja Skarg, Wniosków i Petycji na posiedzeniu w dniu </w:t>
      </w:r>
      <w:r w:rsidR="009623ED">
        <w:rPr>
          <w:rFonts w:ascii="Arial" w:hAnsi="Arial" w:cs="Arial"/>
          <w:kern w:val="0"/>
          <w:sz w:val="24"/>
          <w:szCs w:val="24"/>
          <w14:ligatures w14:val="none"/>
        </w:rPr>
        <w:t xml:space="preserve">29 stycznia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 xml:space="preserve">2025 r.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ustaliła, że kwestie związane z podnoszeniem kwalifikacji pracowników reguluje ustawa </w:t>
      </w:r>
      <w:bookmarkStart w:id="6" w:name="_Hlk188249964"/>
      <w:r w:rsidRPr="00417272">
        <w:rPr>
          <w:rFonts w:ascii="Arial" w:hAnsi="Arial" w:cs="Arial"/>
          <w:kern w:val="0"/>
          <w:sz w:val="24"/>
          <w:szCs w:val="24"/>
          <w14:ligatures w14:val="none"/>
        </w:rPr>
        <w:t>z dnia 26 czerwca 1974 r. Kodeks pracy</w:t>
      </w:r>
      <w:bookmarkEnd w:id="6"/>
      <w:r w:rsidRPr="00417272">
        <w:rPr>
          <w:rFonts w:ascii="Arial" w:hAnsi="Arial" w:cs="Arial"/>
          <w:kern w:val="0"/>
          <w:sz w:val="24"/>
          <w:szCs w:val="24"/>
          <w14:ligatures w14:val="none"/>
        </w:rPr>
        <w:t>. Zgodnie z art. 17 ww. ustawy</w:t>
      </w:r>
      <w:r w:rsidRPr="00417272">
        <w:rPr>
          <w:rFonts w:ascii="Arial" w:hAnsi="Arial" w:cs="Arial"/>
          <w:b/>
          <w:bCs/>
          <w:kern w:val="0"/>
          <w:sz w:val="24"/>
          <w:szCs w:val="24"/>
          <w14:ligatures w14:val="none"/>
        </w:rPr>
        <w:t xml:space="preserve"> 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>„pracodawca jest obowiązany ułatwiać pracownikom podnoszenie kwalifikacji zawodowych”. W myśl art. 103</w:t>
      </w:r>
      <w:r w:rsidRPr="00417272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1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 xml:space="preserve"> § 1 „przez podnoszenie kwalifikacji zawodowych rozumie się zdobywanie lub uzupełnianie wiedzy i umiejętności przez pracownika,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br/>
        <w:t>z inicjatywy pracodawcy albo za jego zgodą. Ponadto na podstawie art. 103</w:t>
      </w:r>
      <w:r w:rsidRPr="00417272">
        <w:rPr>
          <w:rFonts w:ascii="Arial" w:hAnsi="Arial" w:cs="Arial"/>
          <w:kern w:val="0"/>
          <w:sz w:val="24"/>
          <w:szCs w:val="24"/>
          <w:vertAlign w:val="superscript"/>
          <w14:ligatures w14:val="none"/>
        </w:rPr>
        <w:t>3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 xml:space="preserve"> „pracodawca może przyznać pracownikowi podnoszącemu kwalifikacje zawodowe dodatkowe świadczenia, w szczególności pokryć opłaty za kształcenie, przejazd, podręczniki i zakwaterowanie.”</w:t>
      </w:r>
    </w:p>
    <w:p w14:paraId="55EB50C7" w14:textId="77777777" w:rsidR="00417272" w:rsidRPr="00417272" w:rsidRDefault="00417272" w:rsidP="00417272">
      <w:pPr>
        <w:spacing w:line="252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 xml:space="preserve">Ponadto Komisja ustaliła także, że zagadnienia związane z podnoszeniem kwalifikacji pracowników samorządowych reguluje również art. 29 ustawy </w:t>
      </w:r>
      <w:bookmarkStart w:id="7" w:name="_Hlk188264019"/>
      <w:r w:rsidRPr="00417272">
        <w:rPr>
          <w:rFonts w:ascii="Arial" w:hAnsi="Arial" w:cs="Arial"/>
          <w:kern w:val="0"/>
          <w:sz w:val="24"/>
          <w:szCs w:val="24"/>
          <w14:ligatures w14:val="none"/>
        </w:rPr>
        <w:t xml:space="preserve">z dnia 21 listopada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2008 r. o pracownikach samorządowych, </w:t>
      </w:r>
      <w:bookmarkEnd w:id="7"/>
      <w:r w:rsidRPr="00417272">
        <w:rPr>
          <w:rFonts w:ascii="Arial" w:hAnsi="Arial" w:cs="Arial"/>
          <w:kern w:val="0"/>
          <w:sz w:val="24"/>
          <w:szCs w:val="24"/>
          <w14:ligatures w14:val="none"/>
        </w:rPr>
        <w:t xml:space="preserve">zgodnie z którym pracownicy samorządowi uczestniczą w różnych formach podnoszenia wiedzy i kwalifikacji zawodowych,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br/>
        <w:t>a w planach finansowych jednostek przewiduje się środki finansowe na podnoszenie wiedzy i kwalifikacji zawodowych.</w:t>
      </w:r>
    </w:p>
    <w:p w14:paraId="3F86C7D2" w14:textId="48163628" w:rsidR="00417272" w:rsidRPr="00417272" w:rsidRDefault="00417272" w:rsidP="00417272">
      <w:pPr>
        <w:spacing w:line="252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 xml:space="preserve">Zgodnie z art. 4 </w:t>
      </w:r>
      <w:bookmarkStart w:id="8" w:name="_Hlk188250348"/>
      <w:r w:rsidRPr="00417272">
        <w:rPr>
          <w:rFonts w:ascii="Arial" w:hAnsi="Arial" w:cs="Arial"/>
          <w:kern w:val="0"/>
          <w:sz w:val="24"/>
          <w:szCs w:val="24"/>
          <w14:ligatures w14:val="none"/>
        </w:rPr>
        <w:t>ustawy z dnia 21 listopada 2008 r. o pracownikach samorządowych</w:t>
      </w:r>
      <w:bookmarkEnd w:id="8"/>
      <w:r w:rsidRPr="00417272">
        <w:rPr>
          <w:rFonts w:ascii="Arial" w:hAnsi="Arial" w:cs="Arial"/>
          <w:kern w:val="0"/>
          <w:sz w:val="24"/>
          <w:szCs w:val="24"/>
          <w14:ligatures w14:val="none"/>
        </w:rPr>
        <w:t xml:space="preserve"> zarówno Starosta jak i Wicestarosta są pracownikami samorządowymi, wobec czego mają prawo do korzystania z uprawnień, które przysługują pracownikom samorządowym. Jednym z nich jest możliwość podnoszenia kwalifikacji zawodowych, z której obaj Panowie skorzystali, uzyskując zgodę osób uprawnionych, o których mowa w art. 9 ww. ustawy</w:t>
      </w:r>
      <w:bookmarkStart w:id="9" w:name="_Hlk163723499"/>
      <w:r w:rsidR="008C5605">
        <w:rPr>
          <w:rFonts w:ascii="Arial" w:hAnsi="Arial" w:cs="Arial"/>
          <w:kern w:val="0"/>
          <w:sz w:val="24"/>
          <w:szCs w:val="24"/>
          <w14:ligatures w14:val="none"/>
        </w:rPr>
        <w:t>, na sfinansowanie studiów podyplomowych z zakresu MBA.</w:t>
      </w:r>
    </w:p>
    <w:p w14:paraId="30ACA1DA" w14:textId="43BE0FFF" w:rsidR="00417272" w:rsidRPr="00417272" w:rsidRDefault="00417272" w:rsidP="00417272">
      <w:pPr>
        <w:spacing w:line="252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 xml:space="preserve">Nadmienić należy, że </w:t>
      </w:r>
      <w:r w:rsidR="008C5605">
        <w:rPr>
          <w:rFonts w:ascii="Arial" w:hAnsi="Arial" w:cs="Arial"/>
          <w:kern w:val="0"/>
          <w:sz w:val="24"/>
          <w:szCs w:val="24"/>
          <w14:ligatures w14:val="none"/>
        </w:rPr>
        <w:t xml:space="preserve">ww.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 xml:space="preserve">studia przeznaczone są przede wszystkim dla kadry zarządzającej wyższego szczebla. Program nauczania na ww. kierunku obejmuje zagadnienia przydatne ściśle z punktu widzenia zarządzającego przedsiębiorstwem lub organizacją, uznane przez praktyków za kluczowe. Studia te dają możliwość podniesienia kwalifikacji menedżerskich w zakresie umiejętności przywódczych oraz uzyskania osiągnięć w różnych obszarach zarządzania. Ponadto dają również </w:t>
      </w:r>
      <w:r w:rsidR="00E32245">
        <w:rPr>
          <w:rFonts w:ascii="Arial" w:hAnsi="Arial" w:cs="Arial"/>
          <w:kern w:val="0"/>
          <w:sz w:val="24"/>
          <w:szCs w:val="24"/>
          <w14:ligatures w14:val="none"/>
        </w:rPr>
        <w:t xml:space="preserve">uprawnienia do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>zasiadania w Radach Nadzorczych Spółek.</w:t>
      </w:r>
    </w:p>
    <w:p w14:paraId="69C9E483" w14:textId="77777777" w:rsidR="00417272" w:rsidRPr="00417272" w:rsidRDefault="00417272" w:rsidP="00417272">
      <w:pPr>
        <w:spacing w:line="252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 xml:space="preserve">Komisja po zapoznaniu się z powyższymi przepisami i uprawnieniami z jakich mogą skorzystać pracownicy samorządowi w kwestii podnoszenia kwalifikacji nie uznała,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aby środki finansowe przyznane Staroście Ostródzkiemu i Wicestaroście </w:t>
      </w:r>
      <w:r w:rsidRPr="00417272">
        <w:rPr>
          <w:rFonts w:ascii="Arial" w:hAnsi="Arial" w:cs="Arial"/>
          <w:color w:val="FF0000"/>
          <w:kern w:val="0"/>
          <w:sz w:val="24"/>
          <w:szCs w:val="24"/>
          <w14:ligatures w14:val="none"/>
        </w:rPr>
        <w:br/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>na podniesienie kwalifikacji zostały wydatkowane w sposób niegospodarny.</w:t>
      </w:r>
      <w:bookmarkEnd w:id="9"/>
    </w:p>
    <w:p w14:paraId="015057E6" w14:textId="6E63BD3D" w:rsidR="00417272" w:rsidRPr="00417272" w:rsidRDefault="00417272" w:rsidP="00417272">
      <w:pPr>
        <w:spacing w:line="252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 xml:space="preserve">Odnosząc się do zarzutu dotyczącego powoływania przez Starostę Ostródzkiego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do Rady Nadzorczej Szpitala w Ostródzie „osób nieposiadających jakiekolwiek doświadczenia w nadzorowaniu działalności spółki z dziedziny służby zdrowia”,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co „skutkowało brakiem odpowiedniego nadzoru nad działalnością szpitala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i bez wątpienia przyczyniło się do katastrofalnej sytuacji finansowej” należy uznać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go za bezzasadny. Albowiem zgodnie z art. 385 §1 </w:t>
      </w:r>
      <w:bookmarkStart w:id="10" w:name="_Hlk187823591"/>
      <w:r w:rsidRPr="00417272">
        <w:rPr>
          <w:rFonts w:ascii="Arial" w:hAnsi="Arial" w:cs="Arial"/>
          <w:kern w:val="0"/>
          <w:sz w:val="24"/>
          <w:szCs w:val="24"/>
          <w14:ligatures w14:val="none"/>
        </w:rPr>
        <w:t xml:space="preserve">ustawy z dnia 15 września 2000 r. Kodeks spółek handlowych </w:t>
      </w:r>
      <w:bookmarkEnd w:id="10"/>
      <w:r w:rsidRPr="00417272">
        <w:rPr>
          <w:rFonts w:ascii="Arial" w:hAnsi="Arial" w:cs="Arial"/>
          <w:kern w:val="0"/>
          <w:sz w:val="24"/>
          <w:szCs w:val="24"/>
          <w14:ligatures w14:val="none"/>
        </w:rPr>
        <w:t>(Dz.U. z 2024 r. poz. 18 z późn. zm.) to</w:t>
      </w:r>
      <w:r w:rsidRPr="00417272">
        <w:rPr>
          <w:rFonts w:ascii="Arial" w:hAnsi="Arial" w:cs="Arial"/>
          <w:color w:val="FF0000"/>
          <w:kern w:val="0"/>
          <w:sz w:val="24"/>
          <w:szCs w:val="24"/>
          <w14:ligatures w14:val="none"/>
        </w:rPr>
        <w:t xml:space="preserve">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 xml:space="preserve">Walne Zgromadzenie Akcjonariuszy Szpitala w Ostródzie S.A. powołuje członków Rady Nadzorczej. Jest ono reprezentowane przez Zarząd Powiatu w Ostródzie, który składa się z pięciu członków: Starosty, Wicestarosty oraz trzech członków Zarządu. </w:t>
      </w:r>
      <w:r w:rsidR="008C5605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lastRenderedPageBreak/>
        <w:t xml:space="preserve">Zatem biorąc powyższe pod uwagę należy stwierdzić, że powoływanie członków Rady Nadzorczej nie jest indywidualną decyzją Starosty Ostródzkiego. Ponadto,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br/>
        <w:t>aby zasiadać w radzie nadzorczej spółki należy spełnić wymogi, które zostały określone w</w:t>
      </w:r>
      <w:r w:rsidRPr="00417272">
        <w:rPr>
          <w:rFonts w:ascii="Arial" w:hAnsi="Arial" w:cs="Arial"/>
          <w:color w:val="FF0000"/>
          <w:kern w:val="0"/>
          <w:sz w:val="24"/>
          <w:szCs w:val="24"/>
          <w14:ligatures w14:val="none"/>
        </w:rPr>
        <w:t xml:space="preserve">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 xml:space="preserve">ustawie z dnia 16 grudnia 2016 r. o zasadach zarządzania mieniem państwowym. Nadmienić należy, że powołani przez Walne Zgromadzenie Akcjonariuszy członkowie Rady Nadzorczej Szpitala spełnili wymogi określone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w ww. ustawie. Odnosząc się natomiast do sytuacji finansowej Szpitala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w Ostródzie, zaznaczyć należy, że faktycznie jest ona trudna, tak samo jak wielu innych szpitali powiatowych w Polsce. Kwestia ta była szczegółowo omawiana przez Prezesa Szpitala na jednej z sesji Rady Powiatu w Ostródzie, podczas której przedstawił on powody trudnej sytuacji finansowej szpitala, która dodatkowo pogorszyła się także między innymi w wyniku wprowadzenia reformy systemu wynagrodzeń pracowników zatrudnionych w podmiotach leczniczych, która weszła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w życie w lipcu 2022 roku, a za którą nie poszedł odpowiedni wzrost wyceny świadczeń, pozwalający pokryć obligatoryjny wzrost wynagrodzeń pracowników ochrony zdrowia. Wobec czego koszty związane z niedoszacowaniem wysokości świadczeń w związku z wprowadzeniem ww. reformy placówka musiała pokryć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z własnych środków, które nie zostały zrekompensowane. Nadmienić należy,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że poprawa sytuacji finansowej szpitali powiatowych w Polsce wymaga opracowania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i wprowadzenia systemowych rozwiązań w zakresie ochrony zdrowia. Dlatego też biorąc powyższe pod uwagę nasuwa się stwierdzenie, że to właśnie ww. czynniki przyczyniły się do aktualnej sytuacji finansowej szpitala, a nie dobór kadr, o którym wspomina skarżący. </w:t>
      </w:r>
    </w:p>
    <w:p w14:paraId="0248D206" w14:textId="77777777" w:rsidR="00417272" w:rsidRPr="00417272" w:rsidRDefault="00417272" w:rsidP="00417272">
      <w:pPr>
        <w:spacing w:after="0" w:line="252" w:lineRule="auto"/>
        <w:jc w:val="both"/>
        <w:rPr>
          <w:rFonts w:ascii="Arial" w:hAnsi="Arial" w:cs="Arial"/>
          <w:kern w:val="0"/>
          <w:sz w:val="24"/>
          <w:szCs w:val="24"/>
          <w14:ligatures w14:val="none"/>
        </w:rPr>
      </w:pPr>
      <w:r w:rsidRPr="00417272">
        <w:rPr>
          <w:rFonts w:ascii="Arial" w:hAnsi="Arial" w:cs="Arial"/>
          <w:kern w:val="0"/>
          <w:sz w:val="24"/>
          <w:szCs w:val="24"/>
          <w14:ligatures w14:val="none"/>
        </w:rPr>
        <w:t xml:space="preserve">Mając powyższe na względzie Komisja Skarg, Wniosków i Petycji rekomenduje, </w:t>
      </w:r>
      <w:r w:rsidRPr="00417272">
        <w:rPr>
          <w:rFonts w:ascii="Arial" w:hAnsi="Arial" w:cs="Arial"/>
          <w:kern w:val="0"/>
          <w:sz w:val="24"/>
          <w:szCs w:val="24"/>
          <w14:ligatures w14:val="none"/>
        </w:rPr>
        <w:br/>
        <w:t>aby przedmiotową skargę uznać za bezzasadną.</w:t>
      </w:r>
    </w:p>
    <w:p w14:paraId="3EADDDE3" w14:textId="77777777" w:rsidR="00417272" w:rsidRPr="00417272" w:rsidRDefault="00417272" w:rsidP="00417272">
      <w:pPr>
        <w:spacing w:line="252" w:lineRule="auto"/>
        <w:rPr>
          <w:rFonts w:ascii="Arial" w:hAnsi="Arial" w:cs="Arial"/>
          <w:b/>
          <w:bCs/>
          <w:sz w:val="24"/>
          <w:szCs w:val="24"/>
        </w:rPr>
      </w:pPr>
    </w:p>
    <w:p w14:paraId="2F262B29" w14:textId="77777777" w:rsidR="00417272" w:rsidRPr="00417272" w:rsidRDefault="00417272" w:rsidP="00417272">
      <w:pPr>
        <w:spacing w:line="252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417272">
        <w:rPr>
          <w:rFonts w:ascii="Arial" w:hAnsi="Arial" w:cs="Arial"/>
          <w:b/>
          <w:bCs/>
          <w:sz w:val="24"/>
          <w:szCs w:val="24"/>
        </w:rPr>
        <w:t>Pouczenie</w:t>
      </w:r>
    </w:p>
    <w:p w14:paraId="66529F61" w14:textId="77777777" w:rsidR="00417272" w:rsidRPr="00417272" w:rsidRDefault="00417272" w:rsidP="00417272">
      <w:pPr>
        <w:spacing w:line="252" w:lineRule="auto"/>
        <w:jc w:val="both"/>
        <w:rPr>
          <w:rFonts w:ascii="Arial" w:hAnsi="Arial" w:cs="Arial"/>
          <w:sz w:val="24"/>
          <w:szCs w:val="24"/>
        </w:rPr>
      </w:pPr>
      <w:r w:rsidRPr="00417272">
        <w:rPr>
          <w:rFonts w:ascii="Arial" w:hAnsi="Arial" w:cs="Arial"/>
          <w:sz w:val="24"/>
          <w:szCs w:val="24"/>
        </w:rPr>
        <w:t xml:space="preserve">W myśl art. 238 </w:t>
      </w:r>
      <w:bookmarkStart w:id="11" w:name="_Hlk135119735"/>
      <w:r w:rsidRPr="00417272">
        <w:rPr>
          <w:rFonts w:ascii="Arial" w:hAnsi="Arial" w:cs="Arial"/>
          <w:sz w:val="24"/>
          <w:szCs w:val="24"/>
        </w:rPr>
        <w:t>§1</w:t>
      </w:r>
      <w:bookmarkEnd w:id="11"/>
      <w:r w:rsidRPr="00417272">
        <w:rPr>
          <w:rFonts w:ascii="Arial" w:hAnsi="Arial" w:cs="Arial"/>
          <w:sz w:val="24"/>
          <w:szCs w:val="24"/>
        </w:rPr>
        <w:t xml:space="preserve"> zdanie drugie ustawy z dnia 14 czerwca 1960 r. Kodeks postępowania administracyjnego </w:t>
      </w:r>
      <w:r w:rsidRPr="00417272">
        <w:rPr>
          <w:rFonts w:ascii="Arial" w:hAnsi="Arial" w:cs="Arial"/>
          <w:i/>
          <w:iCs/>
          <w:sz w:val="24"/>
          <w:szCs w:val="24"/>
        </w:rPr>
        <w:t>„Zawiadomienie o odmownym załatwieniu skargi powinno zawierać ponadto uzasadnienie faktyczne i prawne oraz pouczenie o treści art. 239.”</w:t>
      </w:r>
      <w:r w:rsidRPr="00417272">
        <w:rPr>
          <w:rFonts w:ascii="Arial" w:hAnsi="Arial" w:cs="Arial"/>
          <w:sz w:val="24"/>
          <w:szCs w:val="24"/>
        </w:rPr>
        <w:t xml:space="preserve"> Tym samym zgodnie z art. 239 §1 poucza się, że  </w:t>
      </w:r>
      <w:r w:rsidRPr="00417272">
        <w:rPr>
          <w:rFonts w:ascii="Arial" w:hAnsi="Arial" w:cs="Arial"/>
          <w:i/>
          <w:iCs/>
          <w:sz w:val="24"/>
          <w:szCs w:val="24"/>
        </w:rPr>
        <w:t>„W przypadku gdy skarga, w wyniku jej rozpatrzenia, została uznana za bezzasadną i jej bezzasadność wykazano w odpowiedzi na skargę, a skarżący ponowił skargę bez wskazania nowych okoliczności - organ właściwy do jej rozpatrzenia może podtrzymać swoje poprzednie stanowisko z odpowiednią adnotacją w aktach sprawy - bez zawiadamiania skarżącego.”</w:t>
      </w:r>
    </w:p>
    <w:p w14:paraId="0AB94421" w14:textId="77777777" w:rsidR="00417272" w:rsidRPr="00417272" w:rsidRDefault="00417272" w:rsidP="00417272">
      <w:pPr>
        <w:spacing w:line="252" w:lineRule="auto"/>
      </w:pPr>
    </w:p>
    <w:p w14:paraId="3C30CE80" w14:textId="77777777" w:rsidR="00417272" w:rsidRDefault="00417272" w:rsidP="00417272">
      <w:pPr>
        <w:rPr>
          <w:rFonts w:ascii="Arial" w:hAnsi="Arial" w:cs="Arial"/>
          <w:b/>
          <w:bCs/>
          <w:sz w:val="24"/>
          <w:szCs w:val="24"/>
        </w:rPr>
      </w:pPr>
    </w:p>
    <w:sectPr w:rsidR="00417272" w:rsidSect="00BE53FE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3304"/>
    <w:multiLevelType w:val="hybridMultilevel"/>
    <w:tmpl w:val="96A0E0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657EF"/>
    <w:multiLevelType w:val="hybridMultilevel"/>
    <w:tmpl w:val="C3ECE3D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C0B383F"/>
    <w:multiLevelType w:val="hybridMultilevel"/>
    <w:tmpl w:val="2D6E42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F632E3"/>
    <w:multiLevelType w:val="hybridMultilevel"/>
    <w:tmpl w:val="94782C4A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24B20096"/>
    <w:multiLevelType w:val="hybridMultilevel"/>
    <w:tmpl w:val="375E5D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10337"/>
    <w:multiLevelType w:val="hybridMultilevel"/>
    <w:tmpl w:val="1C7286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A04A12"/>
    <w:multiLevelType w:val="hybridMultilevel"/>
    <w:tmpl w:val="FD1238DC"/>
    <w:lvl w:ilvl="0" w:tplc="77DA7264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77B9A"/>
    <w:multiLevelType w:val="hybridMultilevel"/>
    <w:tmpl w:val="228CD6DE"/>
    <w:lvl w:ilvl="0" w:tplc="B1A47FF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241615">
    <w:abstractNumId w:val="7"/>
  </w:num>
  <w:num w:numId="2" w16cid:durableId="154154842">
    <w:abstractNumId w:val="5"/>
  </w:num>
  <w:num w:numId="3" w16cid:durableId="1950576744">
    <w:abstractNumId w:val="0"/>
  </w:num>
  <w:num w:numId="4" w16cid:durableId="1833134790">
    <w:abstractNumId w:val="1"/>
  </w:num>
  <w:num w:numId="5" w16cid:durableId="238830162">
    <w:abstractNumId w:val="3"/>
  </w:num>
  <w:num w:numId="6" w16cid:durableId="409887583">
    <w:abstractNumId w:val="2"/>
  </w:num>
  <w:num w:numId="7" w16cid:durableId="2139835328">
    <w:abstractNumId w:val="6"/>
  </w:num>
  <w:num w:numId="8" w16cid:durableId="103612574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490"/>
    <w:rsid w:val="00012648"/>
    <w:rsid w:val="000B6887"/>
    <w:rsid w:val="000D3FD2"/>
    <w:rsid w:val="00147911"/>
    <w:rsid w:val="00194ADF"/>
    <w:rsid w:val="001C26FA"/>
    <w:rsid w:val="001E5935"/>
    <w:rsid w:val="002652FB"/>
    <w:rsid w:val="0028105F"/>
    <w:rsid w:val="003069DD"/>
    <w:rsid w:val="00323026"/>
    <w:rsid w:val="0038096E"/>
    <w:rsid w:val="00417272"/>
    <w:rsid w:val="00421E32"/>
    <w:rsid w:val="004260A8"/>
    <w:rsid w:val="00454F8C"/>
    <w:rsid w:val="004614CD"/>
    <w:rsid w:val="00493348"/>
    <w:rsid w:val="004A4495"/>
    <w:rsid w:val="004C06F4"/>
    <w:rsid w:val="004C3C83"/>
    <w:rsid w:val="004C53FC"/>
    <w:rsid w:val="004F0635"/>
    <w:rsid w:val="004F4D00"/>
    <w:rsid w:val="005141FD"/>
    <w:rsid w:val="00517729"/>
    <w:rsid w:val="00517C0C"/>
    <w:rsid w:val="00587F2A"/>
    <w:rsid w:val="005A3DE3"/>
    <w:rsid w:val="005B5141"/>
    <w:rsid w:val="006474EC"/>
    <w:rsid w:val="00680BAE"/>
    <w:rsid w:val="00682BAF"/>
    <w:rsid w:val="00687017"/>
    <w:rsid w:val="006C4E43"/>
    <w:rsid w:val="00713693"/>
    <w:rsid w:val="00736519"/>
    <w:rsid w:val="00773476"/>
    <w:rsid w:val="007A04D4"/>
    <w:rsid w:val="00806C5D"/>
    <w:rsid w:val="00837EB8"/>
    <w:rsid w:val="008B1BDB"/>
    <w:rsid w:val="008C5605"/>
    <w:rsid w:val="008F2BA9"/>
    <w:rsid w:val="008F359D"/>
    <w:rsid w:val="00950EB8"/>
    <w:rsid w:val="009623ED"/>
    <w:rsid w:val="00984C82"/>
    <w:rsid w:val="009A37E2"/>
    <w:rsid w:val="009E430C"/>
    <w:rsid w:val="009F45D1"/>
    <w:rsid w:val="00A42C6F"/>
    <w:rsid w:val="00A65FCE"/>
    <w:rsid w:val="00A76296"/>
    <w:rsid w:val="00AB2959"/>
    <w:rsid w:val="00AE67A0"/>
    <w:rsid w:val="00B20BBF"/>
    <w:rsid w:val="00B214AF"/>
    <w:rsid w:val="00B322A9"/>
    <w:rsid w:val="00B84CF5"/>
    <w:rsid w:val="00BE53FE"/>
    <w:rsid w:val="00BE5BAB"/>
    <w:rsid w:val="00C461CA"/>
    <w:rsid w:val="00CA47CA"/>
    <w:rsid w:val="00CC0490"/>
    <w:rsid w:val="00CC6D07"/>
    <w:rsid w:val="00CD33BE"/>
    <w:rsid w:val="00CF465C"/>
    <w:rsid w:val="00D025BC"/>
    <w:rsid w:val="00D10C49"/>
    <w:rsid w:val="00D2587C"/>
    <w:rsid w:val="00D77A4C"/>
    <w:rsid w:val="00E32245"/>
    <w:rsid w:val="00E53838"/>
    <w:rsid w:val="00F020FF"/>
    <w:rsid w:val="00F13966"/>
    <w:rsid w:val="00F21A6F"/>
    <w:rsid w:val="00F36E72"/>
    <w:rsid w:val="00FD6CD5"/>
    <w:rsid w:val="00FE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CABDE"/>
  <w15:chartTrackingRefBased/>
  <w15:docId w15:val="{B05D12D1-960E-4B58-9F6E-C3FAD0FCC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A4495"/>
    <w:pPr>
      <w:spacing w:line="254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C04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C04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C0490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C0490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C0490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C0490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C0490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C0490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C0490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siatki4akcent63">
    <w:name w:val="Tabela siatki 4 — akcent 63"/>
    <w:basedOn w:val="Standardowy"/>
    <w:next w:val="Tabelasiatki4akcent6"/>
    <w:uiPriority w:val="49"/>
    <w:rsid w:val="009A37E2"/>
    <w:pPr>
      <w:spacing w:after="0" w:line="240" w:lineRule="auto"/>
    </w:pPr>
    <w:rPr>
      <w:rFonts w:eastAsia="Calibri"/>
      <w:kern w:val="0"/>
      <w14:ligatures w14:val="none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Tabelasiatki4akcent6">
    <w:name w:val="Grid Table 4 Accent 6"/>
    <w:basedOn w:val="Standardowy"/>
    <w:uiPriority w:val="49"/>
    <w:rsid w:val="009A37E2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Nagwek1Znak">
    <w:name w:val="Nagłówek 1 Znak"/>
    <w:basedOn w:val="Domylnaczcionkaakapitu"/>
    <w:link w:val="Nagwek1"/>
    <w:uiPriority w:val="9"/>
    <w:rsid w:val="00CC04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C04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C049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C0490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C0490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C049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C049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C049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C049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C0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C0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C0490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C0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C0490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C049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C0490"/>
    <w:pPr>
      <w:spacing w:line="259" w:lineRule="auto"/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C0490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C04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C0490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C04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64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558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6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9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499</TotalTime>
  <Pages>3</Pages>
  <Words>1032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Świątek</dc:creator>
  <cp:keywords/>
  <dc:description/>
  <cp:lastModifiedBy>Karolina Świątek</cp:lastModifiedBy>
  <cp:revision>54</cp:revision>
  <dcterms:created xsi:type="dcterms:W3CDTF">2025-01-14T13:38:00Z</dcterms:created>
  <dcterms:modified xsi:type="dcterms:W3CDTF">2025-01-29T12:58:00Z</dcterms:modified>
</cp:coreProperties>
</file>